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 xml:space="preserve">Центра </w:t>
            </w:r>
            <w:r w:rsidR="003D1E95">
              <w:rPr>
                <w:rFonts w:ascii="PT Astra Serif" w:hAnsi="PT Astra Serif"/>
                <w:sz w:val="24"/>
                <w:szCs w:val="24"/>
              </w:rPr>
              <w:t>перспективного финансового планирования, макроэкономического анализа и статистики финансов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</w:t>
            </w:r>
            <w:r w:rsidRPr="008B48EE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46 000,00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1C1D6E" w:rsidTr="00BF6C6C">
        <w:trPr>
          <w:trHeight w:val="696"/>
        </w:trPr>
        <w:tc>
          <w:tcPr>
            <w:tcW w:w="567" w:type="dxa"/>
          </w:tcPr>
          <w:p w:rsidR="00D307D7" w:rsidRPr="001C1D6E" w:rsidRDefault="003D1E95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1C1D6E">
              <w:rPr>
                <w:rFonts w:ascii="PT Astra Serif" w:hAnsi="PT Astra Serif" w:cs="Times New Roman"/>
              </w:rPr>
              <w:t xml:space="preserve">Главный научный сотрудник </w:t>
            </w:r>
            <w:r w:rsidR="003D1E95" w:rsidRPr="003064C3">
              <w:rPr>
                <w:rFonts w:ascii="PT Astra Serif" w:hAnsi="PT Astra Serif"/>
                <w:sz w:val="24"/>
                <w:szCs w:val="24"/>
              </w:rPr>
              <w:t>Центр</w:t>
            </w:r>
            <w:r w:rsidR="003D1E95">
              <w:rPr>
                <w:rFonts w:ascii="PT Astra Serif" w:hAnsi="PT Astra Serif"/>
                <w:sz w:val="24"/>
                <w:szCs w:val="24"/>
              </w:rPr>
              <w:t>а</w:t>
            </w:r>
            <w:r w:rsidR="003D1E95" w:rsidRPr="003064C3">
              <w:rPr>
                <w:rFonts w:ascii="PT Astra Serif" w:hAnsi="PT Astra Serif"/>
                <w:sz w:val="24"/>
                <w:szCs w:val="24"/>
              </w:rPr>
              <w:t xml:space="preserve"> методологии бухгалтерского учета</w:t>
            </w:r>
          </w:p>
          <w:p w:rsidR="00D307D7" w:rsidRPr="001C1D6E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C1864">
              <w:rPr>
                <w:rFonts w:ascii="PT Astra Serif" w:hAnsi="PT Astra Serif" w:cs="Times New Roman"/>
              </w:rPr>
              <w:t>),</w:t>
            </w:r>
            <w:r w:rsidRPr="009F45EF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D307D7" w:rsidRPr="00C0615A" w:rsidRDefault="00D307D7" w:rsidP="00BF6C6C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20 000</w:t>
            </w:r>
            <w:r w:rsidRPr="000332F5">
              <w:rPr>
                <w:rFonts w:ascii="PT Astra Serif" w:hAnsi="PT Astra Serif" w:cs="Times New Roman"/>
              </w:rPr>
              <w:t xml:space="preserve">,00 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1C1D6E" w:rsidTr="00BF6C6C">
        <w:trPr>
          <w:trHeight w:val="696"/>
        </w:trPr>
        <w:tc>
          <w:tcPr>
            <w:tcW w:w="567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3D1E9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D1E95">
              <w:rPr>
                <w:rFonts w:ascii="PT Astra Serif" w:hAnsi="PT Astra Serif" w:cs="Times New Roman"/>
              </w:rPr>
              <w:t xml:space="preserve"> м</w:t>
            </w:r>
            <w:r>
              <w:rPr>
                <w:rFonts w:ascii="PT Astra Serif" w:hAnsi="PT Astra Serif" w:cs="Times New Roman"/>
              </w:rPr>
              <w:t>етодологии бухгалтерского учета</w:t>
            </w:r>
          </w:p>
          <w:p w:rsidR="003D1E95" w:rsidRPr="001C1D6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9 250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0,25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E1541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E15415">
              <w:rPr>
                <w:rFonts w:ascii="PT Astra Serif" w:hAnsi="PT Astra Serif" w:cs="Times New Roman"/>
              </w:rPr>
              <w:t xml:space="preserve"> </w:t>
            </w:r>
            <w:r w:rsidRPr="003D1E95">
              <w:rPr>
                <w:rFonts w:ascii="PT Astra Serif" w:hAnsi="PT Astra Serif" w:cs="Times New Roman"/>
              </w:rPr>
              <w:t>финансов социальной сферы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32 000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E1541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E15415">
              <w:rPr>
                <w:rFonts w:ascii="PT Astra Serif" w:hAnsi="PT Astra Serif" w:cs="Times New Roman"/>
              </w:rPr>
              <w:t xml:space="preserve"> </w:t>
            </w:r>
            <w:r w:rsidRPr="003D1E95">
              <w:rPr>
                <w:rFonts w:ascii="PT Astra Serif" w:hAnsi="PT Astra Serif" w:cs="Times New Roman"/>
              </w:rPr>
              <w:t>отраслевой экономики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</w:t>
            </w:r>
            <w:r w:rsidRPr="008B48EE">
              <w:rPr>
                <w:rFonts w:ascii="PT Astra Serif" w:hAnsi="PT Astra Serif" w:cs="Times New Roman"/>
              </w:rPr>
              <w:lastRenderedPageBreak/>
              <w:t>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</w:t>
            </w:r>
            <w:r w:rsidRPr="008B48EE">
              <w:rPr>
                <w:rFonts w:ascii="PT Astra Serif" w:hAnsi="PT Astra Serif" w:cs="Times New Roman"/>
              </w:rPr>
              <w:lastRenderedPageBreak/>
              <w:t>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lastRenderedPageBreak/>
              <w:t>16 000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финансов государственных и муниципальных учреждений</w:t>
            </w:r>
          </w:p>
          <w:p w:rsidR="003D1E95" w:rsidRPr="008B48EE" w:rsidRDefault="003D1E95" w:rsidP="00517C0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налоговой политики</w:t>
            </w:r>
          </w:p>
          <w:p w:rsidR="003D1E95" w:rsidRPr="008B48EE" w:rsidRDefault="003D1E95" w:rsidP="00517C0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Pr="003D1E9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D1E95">
              <w:rPr>
                <w:rFonts w:ascii="PT Astra Serif" w:hAnsi="PT Astra Serif" w:cs="Times New Roman"/>
              </w:rPr>
              <w:t xml:space="preserve"> методологии бухгалтерского учета</w:t>
            </w:r>
          </w:p>
          <w:p w:rsidR="003D1E95" w:rsidRPr="008B48EE" w:rsidRDefault="003D1E95" w:rsidP="00517C0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F8501F" w:rsidRPr="008B48EE" w:rsidTr="009F45EF">
        <w:trPr>
          <w:trHeight w:val="696"/>
        </w:trPr>
        <w:tc>
          <w:tcPr>
            <w:tcW w:w="567" w:type="dxa"/>
          </w:tcPr>
          <w:p w:rsidR="00F8501F" w:rsidRDefault="00F8501F" w:rsidP="00F8501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269" w:type="dxa"/>
          </w:tcPr>
          <w:p w:rsidR="00F8501F" w:rsidRDefault="00F8501F" w:rsidP="00F8501F">
            <w:pPr>
              <w:rPr>
                <w:rFonts w:ascii="PT Astra Serif" w:hAnsi="PT Astra Serif" w:cs="Times New Roman"/>
              </w:rPr>
            </w:pPr>
            <w:r w:rsidRPr="00E1591A">
              <w:rPr>
                <w:rFonts w:ascii="PT Astra Serif" w:hAnsi="PT Astra Serif" w:cs="Times New Roman"/>
              </w:rPr>
              <w:t>Младший научный сотрудник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43A84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A43A84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международных финансов</w:t>
            </w:r>
          </w:p>
          <w:p w:rsidR="00F8501F" w:rsidRDefault="00F8501F" w:rsidP="00F8501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F8501F" w:rsidRPr="003C4FBC" w:rsidRDefault="00F8501F" w:rsidP="00F8501F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F8501F" w:rsidRPr="00C0615A" w:rsidRDefault="00F8501F" w:rsidP="00F8501F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F8501F" w:rsidRPr="009F45EF" w:rsidRDefault="00F8501F" w:rsidP="00F8501F">
            <w:pPr>
              <w:rPr>
                <w:rFonts w:ascii="PT Astra Serif" w:hAnsi="PT Astra Serif" w:cs="Times New Roman"/>
              </w:rPr>
            </w:pPr>
            <w:bookmarkStart w:id="0" w:name="_GoBack"/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  <w:bookmarkEnd w:id="0"/>
          </w:p>
        </w:tc>
        <w:tc>
          <w:tcPr>
            <w:tcW w:w="1276" w:type="dxa"/>
          </w:tcPr>
          <w:p w:rsidR="00F8501F" w:rsidRPr="008B48EE" w:rsidRDefault="00F8501F" w:rsidP="00F8501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12 500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F8501F" w:rsidRPr="008B48EE" w:rsidRDefault="00F8501F" w:rsidP="00F8501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F8501F" w:rsidRPr="008B48EE" w:rsidRDefault="00F8501F" w:rsidP="00F8501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Конкурс состоится </w:t>
      </w:r>
      <w:r w:rsidR="00D307D7">
        <w:rPr>
          <w:rFonts w:ascii="PT Astra Serif" w:hAnsi="PT Astra Serif"/>
          <w:bCs/>
          <w:sz w:val="28"/>
          <w:szCs w:val="28"/>
        </w:rPr>
        <w:t>0</w:t>
      </w:r>
      <w:r w:rsidR="003D1E95">
        <w:rPr>
          <w:rFonts w:ascii="PT Astra Serif" w:hAnsi="PT Astra Serif"/>
          <w:bCs/>
          <w:sz w:val="28"/>
          <w:szCs w:val="28"/>
        </w:rPr>
        <w:t>2.10</w:t>
      </w:r>
      <w:r w:rsidR="00E1591A">
        <w:rPr>
          <w:rFonts w:ascii="PT Astra Serif" w:hAnsi="PT Astra Serif"/>
          <w:bCs/>
          <w:sz w:val="28"/>
          <w:szCs w:val="28"/>
        </w:rPr>
        <w:t>.2023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591A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заявок </w:t>
      </w:r>
      <w:r w:rsidR="00E1591A" w:rsidRPr="00E1591A">
        <w:rPr>
          <w:rFonts w:ascii="PT Astra Serif" w:hAnsi="PT Astra Serif"/>
          <w:bCs/>
          <w:sz w:val="28"/>
          <w:szCs w:val="28"/>
        </w:rPr>
        <w:t xml:space="preserve">от претендентов на участие в конкурсе </w:t>
      </w:r>
      <w:r w:rsidR="00C1733E" w:rsidRPr="00C1733E">
        <w:rPr>
          <w:rFonts w:ascii="PT Astra Serif" w:hAnsi="PT Astra Serif"/>
          <w:bCs/>
          <w:sz w:val="28"/>
          <w:szCs w:val="28"/>
        </w:rPr>
        <w:t>на замещение должностей руководителя центра, ведущего научного сотрудника, старшего научного сотрудника и научного сотрудника в период с 21.08.2023 по 25.09.2023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>заявлений от претендентов на участие в</w:t>
      </w:r>
      <w:r w:rsidR="00D307D7">
        <w:rPr>
          <w:rFonts w:ascii="PT Astra Serif" w:hAnsi="PT Astra Serif"/>
          <w:bCs/>
          <w:sz w:val="28"/>
          <w:szCs w:val="28"/>
        </w:rPr>
        <w:t xml:space="preserve"> конкурсе </w:t>
      </w:r>
      <w:r w:rsidR="00C1733E" w:rsidRPr="00C1733E">
        <w:rPr>
          <w:rFonts w:ascii="PT Astra Serif" w:hAnsi="PT Astra Serif"/>
          <w:bCs/>
          <w:sz w:val="28"/>
          <w:szCs w:val="28"/>
        </w:rPr>
        <w:t xml:space="preserve">на замещение должности главного научного сотрудника </w:t>
      </w:r>
      <w:r w:rsidR="000E6368">
        <w:rPr>
          <w:rFonts w:ascii="PT Astra Serif" w:hAnsi="PT Astra Serif"/>
          <w:bCs/>
          <w:sz w:val="28"/>
          <w:szCs w:val="28"/>
        </w:rPr>
        <w:t xml:space="preserve">и младшего научного сотрудника </w:t>
      </w:r>
      <w:r w:rsidR="00C1733E" w:rsidRPr="00C1733E">
        <w:rPr>
          <w:rFonts w:ascii="PT Astra Serif" w:hAnsi="PT Astra Serif"/>
          <w:bCs/>
          <w:sz w:val="28"/>
          <w:szCs w:val="28"/>
        </w:rPr>
        <w:t>с 21.09.2023 по 25.09.2023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заявок (заявлений) от претендентов в период                                        </w:t>
      </w:r>
      <w:r w:rsidR="00C1733E" w:rsidRPr="00C1733E">
        <w:rPr>
          <w:rFonts w:ascii="PT Astra Serif" w:hAnsi="PT Astra Serif"/>
          <w:bCs/>
          <w:sz w:val="28"/>
          <w:szCs w:val="28"/>
        </w:rPr>
        <w:t>с 26.09.2023 по 29.09.2023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C1733E" w:rsidRPr="00C1733E">
        <w:rPr>
          <w:rFonts w:ascii="PT Astra Serif" w:hAnsi="PT Astra Serif"/>
          <w:bCs/>
          <w:sz w:val="28"/>
          <w:szCs w:val="28"/>
        </w:rPr>
        <w:t>30.09.2026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C0467"/>
    <w:rsid w:val="000E6368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0914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5108"/>
    <w:rsid w:val="003373B8"/>
    <w:rsid w:val="003537E6"/>
    <w:rsid w:val="0037520B"/>
    <w:rsid w:val="00397FB0"/>
    <w:rsid w:val="003D1E95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7FE"/>
    <w:rsid w:val="00434861"/>
    <w:rsid w:val="00434C83"/>
    <w:rsid w:val="00446554"/>
    <w:rsid w:val="00466D29"/>
    <w:rsid w:val="00474065"/>
    <w:rsid w:val="004E10E8"/>
    <w:rsid w:val="0050026B"/>
    <w:rsid w:val="00507BC9"/>
    <w:rsid w:val="00517C06"/>
    <w:rsid w:val="00570D59"/>
    <w:rsid w:val="005B103A"/>
    <w:rsid w:val="005C0022"/>
    <w:rsid w:val="005D2332"/>
    <w:rsid w:val="005E35CE"/>
    <w:rsid w:val="005F54AF"/>
    <w:rsid w:val="00605DB2"/>
    <w:rsid w:val="00620420"/>
    <w:rsid w:val="00641E06"/>
    <w:rsid w:val="00644F7E"/>
    <w:rsid w:val="006502C1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E47DE"/>
    <w:rsid w:val="007E7A6C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6399"/>
    <w:rsid w:val="00897741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F1F1B"/>
    <w:rsid w:val="009F45EF"/>
    <w:rsid w:val="00A00DDB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1733E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3411"/>
    <w:rsid w:val="00CF3C2F"/>
    <w:rsid w:val="00CF4E8E"/>
    <w:rsid w:val="00D001E2"/>
    <w:rsid w:val="00D307D7"/>
    <w:rsid w:val="00D45EAE"/>
    <w:rsid w:val="00D7023E"/>
    <w:rsid w:val="00D8342F"/>
    <w:rsid w:val="00D905DE"/>
    <w:rsid w:val="00D922AB"/>
    <w:rsid w:val="00D96E78"/>
    <w:rsid w:val="00DA25DD"/>
    <w:rsid w:val="00DB0DBB"/>
    <w:rsid w:val="00DB1FBF"/>
    <w:rsid w:val="00DB4D4C"/>
    <w:rsid w:val="00DB641E"/>
    <w:rsid w:val="00DD3EA2"/>
    <w:rsid w:val="00DD4E14"/>
    <w:rsid w:val="00DE1FAC"/>
    <w:rsid w:val="00DF0AE8"/>
    <w:rsid w:val="00E11A49"/>
    <w:rsid w:val="00E11F30"/>
    <w:rsid w:val="00E15415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8501F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3</cp:revision>
  <cp:lastPrinted>2019-06-27T13:49:00Z</cp:lastPrinted>
  <dcterms:created xsi:type="dcterms:W3CDTF">2023-08-16T09:42:00Z</dcterms:created>
  <dcterms:modified xsi:type="dcterms:W3CDTF">2023-09-29T11:21:00Z</dcterms:modified>
</cp:coreProperties>
</file>