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A8" w:rsidRPr="00FD37A8" w:rsidRDefault="00FD37A8" w:rsidP="00FD37A8">
      <w:pPr>
        <w:spacing w:after="0" w:line="240" w:lineRule="auto"/>
        <w:rPr>
          <w:rFonts w:ascii="Times New Roman" w:eastAsia="Times New Roman" w:hAnsi="Times New Roman"/>
          <w:b/>
          <w:sz w:val="26"/>
          <w:szCs w:val="26"/>
        </w:rPr>
      </w:pPr>
      <w:r w:rsidRPr="00FD37A8">
        <w:rPr>
          <w:rFonts w:ascii="Times New Roman" w:hAnsi="Times New Roman"/>
          <w:b/>
          <w:sz w:val="26"/>
          <w:szCs w:val="26"/>
        </w:rPr>
        <w:t xml:space="preserve">В Методику </w:t>
      </w:r>
      <w:r w:rsidRPr="00FD37A8">
        <w:rPr>
          <w:rFonts w:ascii="Times New Roman" w:eastAsia="Times New Roman" w:hAnsi="Times New Roman"/>
          <w:b/>
          <w:sz w:val="26"/>
          <w:szCs w:val="26"/>
        </w:rPr>
        <w:t>проведения мониторинга и составления рейтинга</w:t>
      </w:r>
    </w:p>
    <w:p w:rsidR="00FD37A8" w:rsidRPr="00FD37A8" w:rsidRDefault="00FD37A8" w:rsidP="00FD37A8">
      <w:pPr>
        <w:spacing w:after="0" w:line="240" w:lineRule="auto"/>
        <w:rPr>
          <w:rFonts w:ascii="Times New Roman" w:hAnsi="Times New Roman"/>
          <w:b/>
          <w:sz w:val="26"/>
          <w:szCs w:val="26"/>
        </w:rPr>
      </w:pPr>
      <w:r w:rsidRPr="00FD37A8">
        <w:rPr>
          <w:rFonts w:ascii="Times New Roman" w:eastAsia="Times New Roman" w:hAnsi="Times New Roman"/>
          <w:b/>
          <w:sz w:val="26"/>
          <w:szCs w:val="26"/>
        </w:rPr>
        <w:t>субъектов Российской Федерации по уровню открытости бюджетных данных в 2016 году</w:t>
      </w:r>
      <w:r>
        <w:rPr>
          <w:rFonts w:ascii="Times New Roman" w:eastAsia="Times New Roman" w:hAnsi="Times New Roman"/>
          <w:b/>
          <w:sz w:val="26"/>
          <w:szCs w:val="26"/>
        </w:rPr>
        <w:t xml:space="preserve"> внесены изменения</w:t>
      </w:r>
    </w:p>
    <w:p w:rsidR="00FD37A8" w:rsidRDefault="00FD37A8" w:rsidP="00FD37A8">
      <w:pPr>
        <w:spacing w:after="0" w:line="240" w:lineRule="auto"/>
        <w:rPr>
          <w:rFonts w:ascii="Times New Roman" w:hAnsi="Times New Roman"/>
          <w:sz w:val="26"/>
          <w:szCs w:val="26"/>
        </w:rPr>
      </w:pPr>
    </w:p>
    <w:p w:rsidR="00FD37A8" w:rsidRPr="00FD37A8" w:rsidRDefault="00FD37A8" w:rsidP="00FD37A8">
      <w:pPr>
        <w:spacing w:after="120" w:line="240" w:lineRule="auto"/>
        <w:rPr>
          <w:rFonts w:ascii="Times New Roman" w:eastAsia="Times New Roman" w:hAnsi="Times New Roman"/>
          <w:sz w:val="25"/>
          <w:szCs w:val="25"/>
        </w:rPr>
      </w:pPr>
      <w:r w:rsidRPr="00FD37A8">
        <w:rPr>
          <w:rFonts w:ascii="Times New Roman" w:hAnsi="Times New Roman"/>
          <w:sz w:val="25"/>
          <w:szCs w:val="25"/>
        </w:rPr>
        <w:t xml:space="preserve">По согласованию с Министерством финансов Российской Федерации в Методику </w:t>
      </w:r>
      <w:r w:rsidRPr="00FD37A8">
        <w:rPr>
          <w:rFonts w:ascii="Times New Roman" w:eastAsia="Times New Roman" w:hAnsi="Times New Roman"/>
          <w:sz w:val="25"/>
          <w:szCs w:val="25"/>
        </w:rPr>
        <w:t xml:space="preserve">проведения мониторинга и составления рейтинга субъектов Российской Федерации по уровню открытости бюджетных данных в 2016 году внесены изменения. </w:t>
      </w:r>
    </w:p>
    <w:p w:rsidR="00FD37A8" w:rsidRPr="00FD37A8" w:rsidRDefault="00FD37A8" w:rsidP="00FD37A8">
      <w:pPr>
        <w:spacing w:after="120" w:line="240" w:lineRule="auto"/>
        <w:rPr>
          <w:rFonts w:ascii="Times New Roman" w:eastAsia="Times New Roman" w:hAnsi="Times New Roman"/>
          <w:sz w:val="25"/>
          <w:szCs w:val="25"/>
        </w:rPr>
      </w:pPr>
      <w:r w:rsidRPr="00FD37A8">
        <w:rPr>
          <w:rFonts w:ascii="Times New Roman" w:eastAsia="Times New Roman" w:hAnsi="Times New Roman"/>
          <w:sz w:val="25"/>
          <w:szCs w:val="25"/>
        </w:rPr>
        <w:t xml:space="preserve">Из числа показателей, используемых для оценки уровня открытости бюджетных данных исключены 7 показателей: </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1.5. Доля капитальных вложений в объекты государственной собственности, распределенных по объектам законом о бюджете на 2016 год, в общем объеме капитальных вложений в объекты государственной собственности, предусмотренных законом о бюджете на 2016 год;</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3.2. Количество посещений (уникальных посетителей) страницы (раздела) портала (сайта) субъекта РФ, на которой опубликован бюджет для граждан, разработанный на основе закона о бюджете на 2016 год (на 2016 год и плановый период 2017 и 2018 годов), в месяц, в процентах от численности постоянного населения субъекта РФ;</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7.3. Количество посещений (уникальных посетителей) страницы (раздела) портала (сайта) субъекта РФ, на которой опубликован бюджет для граждан, разработанный на основе годового отчета об исполнении бюджета за 2015 год или на основе закона субъекта РФ об исполнении бюджета за 2015 год, в месяц, в процентах от численности постоянного населения субъекта РФ;</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hAnsi="Times New Roman"/>
          <w:sz w:val="25"/>
          <w:szCs w:val="25"/>
        </w:rPr>
        <w:t xml:space="preserve">11.3. </w:t>
      </w:r>
      <w:r w:rsidRPr="00FD37A8">
        <w:rPr>
          <w:rFonts w:ascii="Times New Roman" w:eastAsia="Times New Roman" w:hAnsi="Times New Roman"/>
          <w:sz w:val="25"/>
          <w:szCs w:val="25"/>
          <w:lang w:eastAsia="ru-RU"/>
        </w:rPr>
        <w:t>Опубликован ли утвержденный план контрольных мероприятий органа внутреннего государственного финансового контроля субъекта РФ в сфере бюджетных правоотношений на 2016 год;</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 xml:space="preserve">11.4. Публикуется ли информация о проведенных в 2016 году органом внутреннего государственного финансового контроля субъекта РФ в сфере бюджетных правоотношений контрольных </w:t>
      </w:r>
      <w:r w:rsidRPr="00FD37A8">
        <w:rPr>
          <w:rFonts w:ascii="Times New Roman" w:hAnsi="Times New Roman"/>
          <w:sz w:val="25"/>
          <w:szCs w:val="25"/>
          <w:lang w:eastAsia="ru-RU"/>
        </w:rPr>
        <w:t xml:space="preserve">мероприятиях, о выявленных при их проведении нарушениях </w:t>
      </w:r>
      <w:r w:rsidRPr="00FD37A8">
        <w:rPr>
          <w:rFonts w:ascii="Times New Roman" w:eastAsia="Times New Roman" w:hAnsi="Times New Roman"/>
          <w:sz w:val="25"/>
          <w:szCs w:val="25"/>
          <w:lang w:eastAsia="ru-RU"/>
        </w:rPr>
        <w:t>о внесенных представлениях и предписаниях, а также о принятых по ним решениях и мерах;</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13.4. Опубликованы ли в составе материалов к проекту бюджета сведения о просроченной кредиторской задолженности бюджета субъекта РФ, а также государственных бюджетных и автономных учреждений, учредителем которых являются органы государственной власти субъекта РФ, по состоянию на последнюю отчетную дату;</w:t>
      </w:r>
    </w:p>
    <w:p w:rsidR="00FD37A8" w:rsidRPr="00FD37A8" w:rsidRDefault="00FD37A8" w:rsidP="00FD37A8">
      <w:pPr>
        <w:pStyle w:val="a8"/>
        <w:numPr>
          <w:ilvl w:val="0"/>
          <w:numId w:val="1"/>
        </w:numPr>
        <w:spacing w:after="120" w:line="240" w:lineRule="auto"/>
        <w:ind w:left="284" w:hanging="284"/>
        <w:contextualSpacing w:val="0"/>
        <w:rPr>
          <w:rFonts w:ascii="Times New Roman" w:eastAsia="Times New Roman" w:hAnsi="Times New Roman"/>
          <w:sz w:val="25"/>
          <w:szCs w:val="25"/>
        </w:rPr>
      </w:pPr>
      <w:r w:rsidRPr="00FD37A8">
        <w:rPr>
          <w:rFonts w:ascii="Times New Roman" w:eastAsia="Times New Roman" w:hAnsi="Times New Roman"/>
          <w:sz w:val="25"/>
          <w:szCs w:val="25"/>
          <w:lang w:eastAsia="ru-RU"/>
        </w:rPr>
        <w:t>14.3. Количество посещений (уникальных посетителей) страницы (раздела) портала (сайта) субъекта РФ, на которой опубликован бюджет для граждан, разработанный на основе проекта бюджета на 2017 год и плановый период 2018 и 2019 годов, в месяц, в процентах от численности постоянного населения субъекта РФ.</w:t>
      </w:r>
    </w:p>
    <w:p w:rsidR="00FD37A8" w:rsidRPr="00FD37A8" w:rsidRDefault="00FD37A8" w:rsidP="00FD37A8">
      <w:pPr>
        <w:spacing w:after="120" w:line="240" w:lineRule="auto"/>
        <w:rPr>
          <w:rFonts w:ascii="Times New Roman" w:eastAsia="Times New Roman" w:hAnsi="Times New Roman"/>
          <w:sz w:val="25"/>
          <w:szCs w:val="25"/>
          <w:lang w:eastAsia="ru-RU"/>
        </w:rPr>
      </w:pPr>
      <w:r w:rsidRPr="00FD37A8">
        <w:rPr>
          <w:rFonts w:ascii="Times New Roman" w:eastAsia="Times New Roman" w:hAnsi="Times New Roman"/>
          <w:sz w:val="25"/>
          <w:szCs w:val="25"/>
          <w:lang w:eastAsia="ru-RU"/>
        </w:rPr>
        <w:t>Номера и наименования показателей указаны в соответствии с Методикой проведения мониторинга и составления рейтинга субъектов Российской Федерации по уровню открытости бюджетных данных в 2016 году, опубликованной 30.03.2016 г.</w:t>
      </w:r>
      <w:bookmarkStart w:id="0" w:name="_GoBack"/>
      <w:bookmarkEnd w:id="0"/>
    </w:p>
    <w:sectPr w:rsidR="00FD37A8" w:rsidRPr="00FD37A8" w:rsidSect="00FD37A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57" w:rsidRDefault="00577757" w:rsidP="00FD37A8">
      <w:pPr>
        <w:spacing w:after="0" w:line="240" w:lineRule="auto"/>
      </w:pPr>
      <w:r>
        <w:separator/>
      </w:r>
    </w:p>
  </w:endnote>
  <w:endnote w:type="continuationSeparator" w:id="0">
    <w:p w:rsidR="00577757" w:rsidRDefault="00577757" w:rsidP="00FD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57" w:rsidRDefault="00577757" w:rsidP="00FD37A8">
      <w:pPr>
        <w:spacing w:after="0" w:line="240" w:lineRule="auto"/>
      </w:pPr>
      <w:r>
        <w:separator/>
      </w:r>
    </w:p>
  </w:footnote>
  <w:footnote w:type="continuationSeparator" w:id="0">
    <w:p w:rsidR="00577757" w:rsidRDefault="00577757" w:rsidP="00FD3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137"/>
    <w:multiLevelType w:val="hybridMultilevel"/>
    <w:tmpl w:val="0A245E64"/>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5D"/>
    <w:rsid w:val="00201D5D"/>
    <w:rsid w:val="003128C7"/>
    <w:rsid w:val="0055497B"/>
    <w:rsid w:val="00577757"/>
    <w:rsid w:val="0066308E"/>
    <w:rsid w:val="00C8708F"/>
    <w:rsid w:val="00FD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DFB3-A44C-4501-A79C-4CC37CC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A8"/>
    <w:pPr>
      <w:spacing w:after="200" w:line="276" w:lineRule="auto"/>
    </w:pPr>
    <w:rPr>
      <w:rFonts w:ascii="Calibri" w:eastAsia="Calibri" w:hAnsi="Calibri" w:cs="Times New Roman"/>
    </w:rPr>
  </w:style>
  <w:style w:type="paragraph" w:styleId="1">
    <w:name w:val="heading 1"/>
    <w:basedOn w:val="a"/>
    <w:next w:val="a"/>
    <w:link w:val="10"/>
    <w:uiPriority w:val="9"/>
    <w:qFormat/>
    <w:rsid w:val="0066308E"/>
    <w:pPr>
      <w:keepNext/>
      <w:keepLines/>
      <w:spacing w:before="240" w:after="0" w:line="259" w:lineRule="auto"/>
      <w:ind w:left="708"/>
      <w:outlineLvl w:val="0"/>
    </w:pPr>
    <w:rPr>
      <w:rFonts w:asciiTheme="majorHAnsi" w:eastAsiaTheme="majorEastAsia" w:hAnsiTheme="majorHAnsi"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08E"/>
    <w:rPr>
      <w:rFonts w:asciiTheme="majorHAnsi" w:eastAsiaTheme="majorEastAsia" w:hAnsiTheme="majorHAnsi" w:cstheme="majorBidi"/>
      <w:sz w:val="28"/>
      <w:szCs w:val="32"/>
    </w:rPr>
  </w:style>
  <w:style w:type="character" w:styleId="a3">
    <w:name w:val="Hyperlink"/>
    <w:basedOn w:val="a0"/>
    <w:uiPriority w:val="99"/>
    <w:unhideWhenUsed/>
    <w:rsid w:val="00FD37A8"/>
    <w:rPr>
      <w:color w:val="0563C1" w:themeColor="hyperlink"/>
      <w:u w:val="single"/>
    </w:rPr>
  </w:style>
  <w:style w:type="table" w:styleId="a4">
    <w:name w:val="Table Grid"/>
    <w:basedOn w:val="a1"/>
    <w:uiPriority w:val="39"/>
    <w:rsid w:val="00FD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FD37A8"/>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FD37A8"/>
    <w:rPr>
      <w:sz w:val="20"/>
      <w:szCs w:val="20"/>
    </w:rPr>
  </w:style>
  <w:style w:type="character" w:styleId="a7">
    <w:name w:val="footnote reference"/>
    <w:basedOn w:val="a0"/>
    <w:uiPriority w:val="99"/>
    <w:semiHidden/>
    <w:unhideWhenUsed/>
    <w:rsid w:val="00FD37A8"/>
    <w:rPr>
      <w:vertAlign w:val="superscript"/>
    </w:rPr>
  </w:style>
  <w:style w:type="paragraph" w:styleId="a8">
    <w:name w:val="List Paragraph"/>
    <w:basedOn w:val="a"/>
    <w:uiPriority w:val="34"/>
    <w:qFormat/>
    <w:rsid w:val="00FD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Ивановна</dc:creator>
  <cp:keywords/>
  <dc:description/>
  <cp:lastModifiedBy>Жаглина Татьяна Юрьевна</cp:lastModifiedBy>
  <cp:revision>3</cp:revision>
  <dcterms:created xsi:type="dcterms:W3CDTF">2016-05-23T09:12:00Z</dcterms:created>
  <dcterms:modified xsi:type="dcterms:W3CDTF">2016-05-23T09:46:00Z</dcterms:modified>
</cp:coreProperties>
</file>