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A" w:rsidRPr="002B1F3E" w:rsidRDefault="002A08DA" w:rsidP="002A08DA">
      <w:pPr>
        <w:jc w:val="center"/>
        <w:rPr>
          <w:rFonts w:ascii="Times New Roman" w:hAnsi="Times New Roman" w:cs="Times New Roman"/>
          <w:sz w:val="26"/>
          <w:szCs w:val="26"/>
        </w:rPr>
      </w:pPr>
      <w:r w:rsidRPr="002B1F3E">
        <w:rPr>
          <w:rFonts w:ascii="Times New Roman" w:hAnsi="Times New Roman" w:cs="Times New Roman"/>
          <w:sz w:val="26"/>
          <w:szCs w:val="26"/>
        </w:rPr>
        <w:t>ФГБУ «Научно-исследовательский финансовый институт»</w:t>
      </w: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B1F3E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результаты оценки </w:t>
      </w:r>
    </w:p>
    <w:p w:rsidR="002B1F3E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уровня открытости бюджетных данных                                                      </w:t>
      </w:r>
    </w:p>
    <w:p w:rsidR="002B1F3E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 субъектах Российской Федерации </w:t>
      </w:r>
    </w:p>
    <w:p w:rsidR="002A08DA" w:rsidRPr="002A08DA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в</w:t>
      </w:r>
      <w:r w:rsidRPr="00966E32">
        <w:rPr>
          <w:rFonts w:ascii="Times New Roman" w:hAnsi="Times New Roman" w:cs="Times New Roman"/>
          <w:b/>
          <w:caps/>
          <w:sz w:val="32"/>
          <w:szCs w:val="32"/>
        </w:rPr>
        <w:t xml:space="preserve"> 201</w:t>
      </w:r>
      <w:r w:rsidRPr="002A08DA">
        <w:rPr>
          <w:rFonts w:ascii="Times New Roman" w:hAnsi="Times New Roman" w:cs="Times New Roman"/>
          <w:b/>
          <w:caps/>
          <w:sz w:val="32"/>
          <w:szCs w:val="32"/>
        </w:rPr>
        <w:t>6</w:t>
      </w:r>
      <w:r w:rsidRPr="00966E32">
        <w:rPr>
          <w:rFonts w:ascii="Times New Roman" w:hAnsi="Times New Roman" w:cs="Times New Roman"/>
          <w:b/>
          <w:caps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caps/>
          <w:sz w:val="32"/>
          <w:szCs w:val="32"/>
        </w:rPr>
        <w:t>у</w:t>
      </w:r>
      <w:r w:rsidRPr="002A08DA">
        <w:rPr>
          <w:rFonts w:ascii="Times New Roman" w:hAnsi="Times New Roman" w:cs="Times New Roman"/>
          <w:b/>
          <w:caps/>
          <w:sz w:val="32"/>
          <w:szCs w:val="32"/>
        </w:rPr>
        <w:t xml:space="preserve"> по итогам </w:t>
      </w:r>
      <w:r>
        <w:rPr>
          <w:rFonts w:ascii="Times New Roman" w:hAnsi="Times New Roman" w:cs="Times New Roman"/>
          <w:b/>
          <w:cap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этапа</w:t>
      </w: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DA" w:rsidRPr="002B1F3E" w:rsidRDefault="002A08DA" w:rsidP="00F178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1F3E">
        <w:rPr>
          <w:rFonts w:ascii="Times New Roman" w:hAnsi="Times New Roman" w:cs="Times New Roman"/>
          <w:sz w:val="26"/>
          <w:szCs w:val="26"/>
        </w:rPr>
        <w:t>Москва, май 2016 года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8970278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085661" w:rsidRPr="002B1F3E" w:rsidRDefault="00085661" w:rsidP="001B0183">
          <w:pPr>
            <w:pStyle w:val="ae"/>
            <w:spacing w:before="120" w:after="120" w:line="240" w:lineRule="auto"/>
            <w:jc w:val="center"/>
            <w:rPr>
              <w:b/>
              <w:sz w:val="25"/>
              <w:szCs w:val="25"/>
            </w:rPr>
          </w:pPr>
          <w:r w:rsidRPr="002B1F3E">
            <w:rPr>
              <w:rFonts w:ascii="Times New Roman" w:hAnsi="Times New Roman" w:cs="Times New Roman"/>
              <w:b/>
              <w:color w:val="auto"/>
              <w:sz w:val="25"/>
              <w:szCs w:val="25"/>
            </w:rPr>
            <w:t>Содержание</w:t>
          </w:r>
        </w:p>
        <w:p w:rsidR="001B0183" w:rsidRPr="001B0183" w:rsidRDefault="001B0183" w:rsidP="001B0183">
          <w:pPr>
            <w:rPr>
              <w:lang w:eastAsia="ru-RU"/>
            </w:rPr>
          </w:pPr>
        </w:p>
        <w:p w:rsidR="00182CDE" w:rsidRPr="00182CDE" w:rsidRDefault="00085661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82CDE">
            <w:rPr>
              <w:rFonts w:ascii="Times New Roman" w:hAnsi="Times New Roman" w:cs="Times New Roman"/>
            </w:rPr>
            <w:fldChar w:fldCharType="begin"/>
          </w:r>
          <w:r w:rsidRPr="00182CDE">
            <w:rPr>
              <w:rFonts w:ascii="Times New Roman" w:hAnsi="Times New Roman" w:cs="Times New Roman"/>
            </w:rPr>
            <w:instrText xml:space="preserve"> TOC \o "1-3" \h \z \u </w:instrText>
          </w:r>
          <w:r w:rsidRPr="00182CDE">
            <w:rPr>
              <w:rFonts w:ascii="Times New Roman" w:hAnsi="Times New Roman" w:cs="Times New Roman"/>
            </w:rPr>
            <w:fldChar w:fldCharType="separate"/>
          </w:r>
          <w:hyperlink w:anchor="_Toc452130117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Рейтинг субъектов Российской Федерации по уровню открытости бюджетных данных в 2016 году по итогам I этапа (группировка по набранному количеству баллов)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_Toc452130117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18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Рейтинг субъектов Российской Федерации по уровню открытости бюджетных данных в 2016 году по итогам I этапа (группировка по федеральным округам)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_Toc452130118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19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Уровень открытости бюджетных данных субъектов Российской Федерации в сравнении с максимальным и средним значением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_Toc452130119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20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Уровень открытости бюджетных данных по направлениям оценки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_Toc452130120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21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«Характеристики первоначально утвержденного бюджета» (раздел 1)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_Toc452130121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22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«Публичные сведения о плановых показателях деятельности государственных учреждений субъекта Российской Федерации» (раздел 2)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_Toc452130122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23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«Бюджет для граждан (закон о бюджете)» (раздел 3)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_Toc452130123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24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«Общественное участие (I квартал 2016 года)» (раздел 4)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_Toc452130124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25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Библиотека лучшей практики за 2016 год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_Toc452130125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82CDE" w:rsidRPr="00182CDE" w:rsidRDefault="00924BB6" w:rsidP="00182CDE">
          <w:pPr>
            <w:pStyle w:val="11"/>
            <w:tabs>
              <w:tab w:val="right" w:leader="dot" w:pos="14560"/>
            </w:tabs>
            <w:spacing w:after="12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2130126" w:history="1">
            <w:r w:rsidR="00182CDE" w:rsidRPr="00182CDE">
              <w:rPr>
                <w:rStyle w:val="a7"/>
                <w:rFonts w:ascii="Times New Roman" w:hAnsi="Times New Roman" w:cs="Times New Roman"/>
                <w:noProof/>
              </w:rPr>
              <w:t>Лидеры и аутсайдеры рейтинга открытости бюджетных данных в 2016 году по итогам I этапа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instrText xml:space="preserve"> PAGEREF _Toc452130126 \h </w:instrTex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82CDE" w:rsidRPr="00182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5661" w:rsidRPr="00182CDE" w:rsidRDefault="00085661" w:rsidP="00182CDE">
          <w:pPr>
            <w:spacing w:after="200" w:line="240" w:lineRule="auto"/>
            <w:rPr>
              <w:rFonts w:ascii="Times New Roman" w:hAnsi="Times New Roman" w:cs="Times New Roman"/>
            </w:rPr>
          </w:pPr>
          <w:r w:rsidRPr="00182CDE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1B0183" w:rsidRDefault="001B018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2A08DA" w:rsidRPr="00675142" w:rsidRDefault="002A08DA" w:rsidP="001B0183">
      <w:pPr>
        <w:pStyle w:val="a8"/>
        <w:keepNext/>
        <w:keepLines/>
        <w:spacing w:before="0" w:beforeAutospacing="0" w:after="120" w:afterAutospacing="0"/>
        <w:jc w:val="both"/>
        <w:rPr>
          <w:sz w:val="22"/>
          <w:szCs w:val="22"/>
        </w:rPr>
      </w:pPr>
      <w:r w:rsidRPr="00675142">
        <w:rPr>
          <w:sz w:val="22"/>
          <w:szCs w:val="22"/>
        </w:rPr>
        <w:lastRenderedPageBreak/>
        <w:t>Оценка</w:t>
      </w:r>
      <w:r w:rsidR="0036134D" w:rsidRPr="00675142">
        <w:rPr>
          <w:sz w:val="22"/>
          <w:szCs w:val="22"/>
        </w:rPr>
        <w:t xml:space="preserve"> уровня открытости бюджетных данных в субъектах Российской Федерации в 2016 году осуществляется </w:t>
      </w:r>
      <w:r w:rsidRPr="00675142">
        <w:rPr>
          <w:sz w:val="22"/>
          <w:szCs w:val="22"/>
        </w:rPr>
        <w:t xml:space="preserve">Научно-исследовательским финансовым институтом (НИФИ) по заказу </w:t>
      </w:r>
      <w:r w:rsidR="0036134D" w:rsidRPr="00675142">
        <w:rPr>
          <w:sz w:val="22"/>
          <w:szCs w:val="22"/>
        </w:rPr>
        <w:t>Министерства финансов Российской Федерации</w:t>
      </w:r>
      <w:r w:rsidRPr="00675142">
        <w:rPr>
          <w:sz w:val="22"/>
          <w:szCs w:val="22"/>
        </w:rPr>
        <w:t xml:space="preserve">. </w:t>
      </w:r>
      <w:r w:rsidR="0036134D" w:rsidRPr="00675142">
        <w:rPr>
          <w:sz w:val="22"/>
          <w:szCs w:val="22"/>
        </w:rPr>
        <w:t>По результатам оценки составляется рейтинг субъектов Российской Федерации по уровню открытости бюджетных данных.</w:t>
      </w:r>
    </w:p>
    <w:p w:rsidR="00085661" w:rsidRPr="00675142" w:rsidRDefault="0036134D" w:rsidP="0036134D">
      <w:pPr>
        <w:pStyle w:val="a8"/>
        <w:spacing w:before="0" w:beforeAutospacing="0" w:after="120" w:afterAutospacing="0"/>
        <w:jc w:val="both"/>
        <w:rPr>
          <w:sz w:val="22"/>
          <w:szCs w:val="22"/>
        </w:rPr>
      </w:pPr>
      <w:r w:rsidRPr="00675142">
        <w:rPr>
          <w:sz w:val="22"/>
          <w:szCs w:val="22"/>
        </w:rPr>
        <w:t xml:space="preserve">Предусмотрено четыре этапа для проведения мониторинга и составления рейтинга. Итоги подводятся поэтапно, нарастающим итогом. Итоговый рейтинг </w:t>
      </w:r>
      <w:r w:rsidR="00085661" w:rsidRPr="00675142">
        <w:rPr>
          <w:sz w:val="22"/>
          <w:szCs w:val="22"/>
        </w:rPr>
        <w:t>планируется опубликовать в январе 2017 года.</w:t>
      </w:r>
    </w:p>
    <w:p w:rsidR="002A08DA" w:rsidRPr="00675142" w:rsidRDefault="00085661" w:rsidP="00085661">
      <w:pPr>
        <w:pStyle w:val="a8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75142">
        <w:rPr>
          <w:sz w:val="22"/>
          <w:szCs w:val="22"/>
        </w:rPr>
        <w:t xml:space="preserve">На </w:t>
      </w:r>
      <w:r w:rsidRPr="00675142">
        <w:rPr>
          <w:sz w:val="22"/>
          <w:szCs w:val="22"/>
          <w:lang w:val="en-US"/>
        </w:rPr>
        <w:t>I</w:t>
      </w:r>
      <w:r w:rsidRPr="00675142">
        <w:rPr>
          <w:sz w:val="22"/>
          <w:szCs w:val="22"/>
        </w:rPr>
        <w:t xml:space="preserve"> этапе оценивалась открытость бюджетных данных по следующим направлениям</w:t>
      </w:r>
      <w:r w:rsidR="002A08DA" w:rsidRPr="00675142">
        <w:rPr>
          <w:sz w:val="22"/>
          <w:szCs w:val="22"/>
        </w:rPr>
        <w:t xml:space="preserve">: </w:t>
      </w:r>
    </w:p>
    <w:p w:rsidR="002A08DA" w:rsidRPr="00675142" w:rsidRDefault="002A08DA" w:rsidP="00085661">
      <w:pPr>
        <w:pStyle w:val="a9"/>
        <w:keepNext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Характеристика первоначально утвержденного бюджета.</w:t>
      </w:r>
    </w:p>
    <w:p w:rsidR="002A08DA" w:rsidRPr="00675142" w:rsidRDefault="002A08DA" w:rsidP="00085661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Публичные сведения о</w:t>
      </w:r>
      <w:r w:rsidR="00085661" w:rsidRPr="00675142">
        <w:rPr>
          <w:rFonts w:ascii="Times New Roman" w:hAnsi="Times New Roman"/>
        </w:rPr>
        <w:t xml:space="preserve"> плановых показателях деятельности </w:t>
      </w:r>
      <w:r w:rsidRPr="00675142">
        <w:rPr>
          <w:rFonts w:ascii="Times New Roman" w:hAnsi="Times New Roman"/>
        </w:rPr>
        <w:t>государственных учреждений</w:t>
      </w:r>
      <w:r w:rsidR="00085661" w:rsidRPr="00675142">
        <w:rPr>
          <w:rFonts w:ascii="Times New Roman" w:hAnsi="Times New Roman"/>
        </w:rPr>
        <w:t xml:space="preserve"> субъекта Российской Федерации</w:t>
      </w:r>
      <w:r w:rsidRPr="00675142">
        <w:rPr>
          <w:rFonts w:ascii="Times New Roman" w:hAnsi="Times New Roman"/>
        </w:rPr>
        <w:t>.</w:t>
      </w:r>
    </w:p>
    <w:p w:rsidR="002A08DA" w:rsidRPr="00675142" w:rsidRDefault="002A08DA" w:rsidP="00085661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Бюджет для граждан</w:t>
      </w:r>
      <w:r w:rsidR="00085661" w:rsidRPr="00675142">
        <w:rPr>
          <w:rFonts w:ascii="Times New Roman" w:hAnsi="Times New Roman"/>
        </w:rPr>
        <w:t xml:space="preserve"> (закон о бюджете)</w:t>
      </w:r>
      <w:r w:rsidRPr="00675142">
        <w:rPr>
          <w:rFonts w:ascii="Times New Roman" w:hAnsi="Times New Roman"/>
        </w:rPr>
        <w:t>.</w:t>
      </w:r>
    </w:p>
    <w:p w:rsidR="002A08DA" w:rsidRPr="00675142" w:rsidRDefault="00085661" w:rsidP="00085661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О</w:t>
      </w:r>
      <w:r w:rsidR="002A08DA" w:rsidRPr="00675142">
        <w:rPr>
          <w:rFonts w:ascii="Times New Roman" w:hAnsi="Times New Roman"/>
        </w:rPr>
        <w:t>бщественное участие</w:t>
      </w:r>
      <w:r w:rsidRPr="00675142">
        <w:rPr>
          <w:rFonts w:ascii="Times New Roman" w:hAnsi="Times New Roman"/>
        </w:rPr>
        <w:t xml:space="preserve"> (</w:t>
      </w:r>
      <w:r w:rsidRPr="00675142">
        <w:rPr>
          <w:rFonts w:ascii="Times New Roman" w:hAnsi="Times New Roman"/>
          <w:lang w:val="en-US"/>
        </w:rPr>
        <w:t>I</w:t>
      </w:r>
      <w:r w:rsidRPr="00675142">
        <w:rPr>
          <w:rFonts w:ascii="Times New Roman" w:hAnsi="Times New Roman"/>
        </w:rPr>
        <w:t xml:space="preserve"> квартал 2016 года)</w:t>
      </w:r>
      <w:r w:rsidR="002A08DA" w:rsidRPr="00675142">
        <w:rPr>
          <w:rFonts w:ascii="Times New Roman" w:hAnsi="Times New Roman"/>
        </w:rPr>
        <w:t>.</w:t>
      </w:r>
    </w:p>
    <w:p w:rsidR="002A08DA" w:rsidRPr="00675142" w:rsidRDefault="002A08DA" w:rsidP="002A08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675142">
        <w:rPr>
          <w:rFonts w:ascii="Times New Roman" w:hAnsi="Times New Roman" w:cs="Times New Roman"/>
        </w:rPr>
        <w:t xml:space="preserve">Методика </w:t>
      </w:r>
      <w:r w:rsidR="00085661" w:rsidRPr="00675142">
        <w:rPr>
          <w:rFonts w:ascii="Times New Roman" w:hAnsi="Times New Roman" w:cs="Times New Roman"/>
        </w:rPr>
        <w:t xml:space="preserve">проведения мониторинга и </w:t>
      </w:r>
      <w:r w:rsidRPr="00675142">
        <w:rPr>
          <w:rFonts w:ascii="Times New Roman" w:hAnsi="Times New Roman" w:cs="Times New Roman"/>
        </w:rPr>
        <w:t>составления рейтинга, исходные данные и результаты оценки регионов являются открытыми для всех заинтересованных пользователей и публикуются на сайте НИФИ (</w:t>
      </w:r>
      <w:hyperlink r:id="rId8" w:history="1">
        <w:r w:rsidRPr="00675142">
          <w:rPr>
            <w:rStyle w:val="a7"/>
            <w:rFonts w:ascii="Times New Roman" w:hAnsi="Times New Roman" w:cs="Times New Roman"/>
          </w:rPr>
          <w:t>http://www.nifi.ru/ru/rating/methodology.html</w:t>
        </w:r>
      </w:hyperlink>
      <w:r w:rsidRPr="00675142">
        <w:rPr>
          <w:rFonts w:ascii="Times New Roman" w:hAnsi="Times New Roman" w:cs="Times New Roman"/>
        </w:rPr>
        <w:t>) и в журнале «Госменеджмент» (</w:t>
      </w:r>
      <w:hyperlink r:id="rId9" w:history="1">
        <w:r w:rsidRPr="00675142">
          <w:rPr>
            <w:rStyle w:val="a7"/>
            <w:rFonts w:ascii="Times New Roman" w:hAnsi="Times New Roman" w:cs="Times New Roman"/>
          </w:rPr>
          <w:t>http://gosman.ru/?news=30139</w:t>
        </w:r>
      </w:hyperlink>
      <w:r w:rsidRPr="00675142">
        <w:rPr>
          <w:rFonts w:ascii="Times New Roman" w:hAnsi="Times New Roman" w:cs="Times New Roman"/>
        </w:rPr>
        <w:t>).</w:t>
      </w:r>
    </w:p>
    <w:p w:rsidR="001B0183" w:rsidRPr="00675142" w:rsidRDefault="001B0183" w:rsidP="002A08DA">
      <w:pPr>
        <w:pStyle w:val="a8"/>
        <w:spacing w:before="0" w:beforeAutospacing="0" w:after="120" w:afterAutospacing="0"/>
        <w:jc w:val="both"/>
        <w:rPr>
          <w:sz w:val="22"/>
          <w:szCs w:val="22"/>
        </w:rPr>
        <w:sectPr w:rsidR="001B0183" w:rsidRPr="00675142" w:rsidSect="00F178CC">
          <w:footerReference w:type="default" r:id="rId10"/>
          <w:type w:val="continuous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2A08DA" w:rsidRPr="001B0183" w:rsidRDefault="002A08DA" w:rsidP="002A08DA">
      <w:pPr>
        <w:pStyle w:val="a8"/>
        <w:spacing w:before="0" w:beforeAutospacing="0" w:after="120" w:afterAutospacing="0"/>
        <w:jc w:val="both"/>
        <w:rPr>
          <w:sz w:val="25"/>
          <w:szCs w:val="25"/>
        </w:rPr>
      </w:pPr>
    </w:p>
    <w:p w:rsidR="001B0183" w:rsidRPr="001B0183" w:rsidRDefault="001B0183">
      <w:pPr>
        <w:rPr>
          <w:rFonts w:ascii="Times New Roman" w:hAnsi="Times New Roman" w:cs="Times New Roman"/>
          <w:b/>
          <w:sz w:val="25"/>
          <w:szCs w:val="25"/>
        </w:rPr>
        <w:sectPr w:rsidR="001B0183" w:rsidRPr="001B0183" w:rsidSect="001B0183">
          <w:type w:val="continuous"/>
          <w:pgSz w:w="16838" w:h="11906" w:orient="landscape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:rsidR="002A08DA" w:rsidRDefault="002A08DA">
      <w:pPr>
        <w:rPr>
          <w:rFonts w:ascii="Times New Roman" w:hAnsi="Times New Roman" w:cs="Times New Roman"/>
          <w:b/>
        </w:rPr>
      </w:pPr>
    </w:p>
    <w:p w:rsidR="00085661" w:rsidRDefault="000856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536AC" w:rsidRPr="00085661" w:rsidRDefault="006536AC" w:rsidP="00FD30D1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452130117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>Рейтинг субъектов Российской Федерации по уровню открытости бюджетных данных в 2016 году по итогам I этапа</w:t>
      </w:r>
      <w:r w:rsidR="000856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5661">
        <w:rPr>
          <w:rFonts w:ascii="Times New Roman" w:hAnsi="Times New Roman" w:cs="Times New Roman"/>
          <w:sz w:val="22"/>
          <w:szCs w:val="22"/>
        </w:rPr>
        <w:t>(группировка по набранному количеству баллов)</w:t>
      </w:r>
      <w:bookmarkEnd w:id="0"/>
    </w:p>
    <w:p w:rsidR="006536AC" w:rsidRPr="00085661" w:rsidRDefault="006536AC" w:rsidP="00FD30D1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sz w:val="22"/>
          <w:szCs w:val="22"/>
        </w:rPr>
        <w:sectPr w:rsidR="006536AC" w:rsidRPr="00085661" w:rsidSect="001B0183">
          <w:type w:val="continuous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1B0183" w:rsidRDefault="001B0183" w:rsidP="00FD30D1">
      <w:pPr>
        <w:spacing w:after="0" w:line="240" w:lineRule="auto"/>
        <w:ind w:left="1418" w:right="124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1B0183" w:rsidSect="00147B1D">
          <w:type w:val="continuous"/>
          <w:pgSz w:w="16838" w:h="11906" w:orient="landscape"/>
          <w:pgMar w:top="1135" w:right="1134" w:bottom="1701" w:left="1134" w:header="708" w:footer="708" w:gutter="0"/>
          <w:cols w:space="708"/>
          <w:docGrid w:linePitch="360"/>
        </w:sectPr>
      </w:pP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3823"/>
        <w:gridCol w:w="1417"/>
        <w:gridCol w:w="1701"/>
      </w:tblGrid>
      <w:tr w:rsidR="001B0183" w:rsidRPr="001B0183" w:rsidTr="002B1F3E">
        <w:trPr>
          <w:trHeight w:val="972"/>
          <w:tblHeader/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                          Российской Федерации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I этапу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1: очень высокий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(80-100% от максимального количества баллов)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2: высокий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(60-80% от максимального количества баллов)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60,6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B0183" w:rsidRPr="001B0183" w:rsidRDefault="001B0183" w:rsidP="001B0183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3: Средний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(40-60% от максимального количества баллов)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57,6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57,6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53,0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4: Низкий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(20-40% от максимального количества баллов)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37,9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37,9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25,8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79-81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79-81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79-81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5: Очень низкий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(0-20% от максимального количества баллов)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г.Севастополь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15,2</w:t>
            </w:r>
          </w:p>
        </w:tc>
      </w:tr>
      <w:tr w:rsidR="001B0183" w:rsidRPr="001B0183" w:rsidTr="002B1F3E">
        <w:trPr>
          <w:trHeight w:val="319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B0183" w:rsidRPr="001B0183" w:rsidRDefault="001B0183" w:rsidP="001B01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15,2</w:t>
            </w:r>
          </w:p>
        </w:tc>
      </w:tr>
    </w:tbl>
    <w:p w:rsidR="001B0183" w:rsidRDefault="001B0183" w:rsidP="00085661">
      <w:pPr>
        <w:pStyle w:val="1"/>
        <w:spacing w:before="0" w:after="120"/>
        <w:jc w:val="center"/>
        <w:rPr>
          <w:rFonts w:ascii="Times New Roman" w:hAnsi="Times New Roman" w:cs="Times New Roman"/>
          <w:b/>
          <w:sz w:val="26"/>
          <w:szCs w:val="26"/>
        </w:rPr>
        <w:sectPr w:rsidR="001B0183" w:rsidSect="001B0183">
          <w:type w:val="continuous"/>
          <w:pgSz w:w="16838" w:h="11906" w:orient="landscape"/>
          <w:pgMar w:top="1135" w:right="1134" w:bottom="1701" w:left="1134" w:header="708" w:footer="708" w:gutter="0"/>
          <w:cols w:num="2" w:space="708"/>
          <w:docGrid w:linePitch="360"/>
        </w:sectPr>
      </w:pPr>
    </w:p>
    <w:p w:rsidR="00182CDE" w:rsidRPr="00085661" w:rsidRDefault="00182CDE" w:rsidP="00182CDE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Toc452130118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>Рейтинг субъектов Российской Федерации по уровню открытости бюджетных данных в 2016 году по итогам I этапа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5661">
        <w:rPr>
          <w:rFonts w:ascii="Times New Roman" w:hAnsi="Times New Roman" w:cs="Times New Roman"/>
          <w:sz w:val="22"/>
          <w:szCs w:val="22"/>
        </w:rPr>
        <w:t>(группировка по федеральным округам)</w:t>
      </w:r>
      <w:bookmarkEnd w:id="1"/>
    </w:p>
    <w:p w:rsidR="00182CDE" w:rsidRPr="00085661" w:rsidRDefault="00182CDE" w:rsidP="00182CDE">
      <w:pPr>
        <w:pStyle w:val="1"/>
        <w:spacing w:before="0" w:after="120"/>
        <w:jc w:val="center"/>
        <w:rPr>
          <w:rFonts w:ascii="Times New Roman" w:hAnsi="Times New Roman" w:cs="Times New Roman"/>
          <w:sz w:val="22"/>
          <w:szCs w:val="22"/>
        </w:rPr>
        <w:sectPr w:rsidR="00182CDE" w:rsidRPr="00085661" w:rsidSect="00147B1D">
          <w:type w:val="continuous"/>
          <w:pgSz w:w="16838" w:h="11906" w:orient="landscape"/>
          <w:pgMar w:top="1135" w:right="1134" w:bottom="1701" w:left="1134" w:header="708" w:footer="708" w:gutter="0"/>
          <w:cols w:space="708"/>
          <w:docGrid w:linePitch="360"/>
        </w:sectPr>
      </w:pPr>
    </w:p>
    <w:tbl>
      <w:tblPr>
        <w:tblW w:w="7366" w:type="dxa"/>
        <w:tblLayout w:type="fixed"/>
        <w:tblLook w:val="04A0" w:firstRow="1" w:lastRow="0" w:firstColumn="1" w:lastColumn="0" w:noHBand="0" w:noVBand="1"/>
      </w:tblPr>
      <w:tblGrid>
        <w:gridCol w:w="3114"/>
        <w:gridCol w:w="1161"/>
        <w:gridCol w:w="1384"/>
        <w:gridCol w:w="1707"/>
      </w:tblGrid>
      <w:tr w:rsidR="00182CDE" w:rsidRPr="002B1F3E" w:rsidTr="00367624">
        <w:trPr>
          <w:trHeight w:val="891"/>
          <w:tblHeader/>
        </w:trPr>
        <w:tc>
          <w:tcPr>
            <w:tcW w:w="3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                  Российской Федерации</w:t>
            </w:r>
          </w:p>
        </w:tc>
        <w:tc>
          <w:tcPr>
            <w:tcW w:w="1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3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федеральному округу</w:t>
            </w:r>
          </w:p>
        </w:tc>
        <w:tc>
          <w:tcPr>
            <w:tcW w:w="17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3676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I этапу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79-81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Северо-Западный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Южный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57,6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Северо-Кавказский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81,8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Приволжский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53,0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57,6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Уральский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Сибирский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37,9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79-81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79-81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37,9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15,2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60,6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25,8</w:t>
            </w:r>
          </w:p>
        </w:tc>
      </w:tr>
      <w:tr w:rsidR="00182CDE" w:rsidRPr="002B1F3E" w:rsidTr="00367624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DA19DF" w:rsidRPr="002B1F3E" w:rsidTr="004A33DD">
        <w:trPr>
          <w:trHeight w:val="300"/>
        </w:trPr>
        <w:tc>
          <w:tcPr>
            <w:tcW w:w="736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19DF" w:rsidRPr="00DA19DF" w:rsidRDefault="00DA19DF" w:rsidP="00DA19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19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Крымский федеральный округ</w:t>
            </w:r>
            <w:bookmarkStart w:id="2" w:name="_GoBack"/>
            <w:bookmarkEnd w:id="2"/>
          </w:p>
        </w:tc>
      </w:tr>
      <w:tr w:rsidR="00182CDE" w:rsidRPr="002B1F3E" w:rsidTr="0036762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182CDE" w:rsidRPr="002B1F3E" w:rsidTr="0036762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г.Севастополь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CDE" w:rsidRPr="002B1F3E" w:rsidRDefault="00182CDE" w:rsidP="00624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</w:tr>
    </w:tbl>
    <w:p w:rsidR="00182CDE" w:rsidRDefault="00182CDE" w:rsidP="00182CDE">
      <w:pPr>
        <w:spacing w:before="40" w:after="20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  <w:sectPr w:rsidR="00182CDE" w:rsidSect="002B1F3E">
          <w:type w:val="continuous"/>
          <w:pgSz w:w="16838" w:h="11906" w:orient="landscape"/>
          <w:pgMar w:top="1077" w:right="1021" w:bottom="1361" w:left="851" w:header="709" w:footer="709" w:gutter="0"/>
          <w:cols w:num="2" w:space="708"/>
          <w:docGrid w:linePitch="360"/>
        </w:sectPr>
      </w:pPr>
    </w:p>
    <w:p w:rsidR="00812DCA" w:rsidRPr="00675142" w:rsidRDefault="00812DCA" w:rsidP="00182CDE">
      <w:pPr>
        <w:pStyle w:val="1"/>
        <w:spacing w:before="0" w:after="120" w:line="240" w:lineRule="auto"/>
        <w:ind w:left="851" w:right="96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_Toc452130119"/>
      <w:r w:rsidRPr="00675142"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103428D" wp14:editId="651CE5ED">
            <wp:simplePos x="0" y="0"/>
            <wp:positionH relativeFrom="column">
              <wp:posOffset>-140335</wp:posOffset>
            </wp:positionH>
            <wp:positionV relativeFrom="paragraph">
              <wp:posOffset>280035</wp:posOffset>
            </wp:positionV>
            <wp:extent cx="9886950" cy="535305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A69" w:rsidRPr="00675142">
        <w:rPr>
          <w:rFonts w:ascii="Times New Roman" w:hAnsi="Times New Roman" w:cs="Times New Roman"/>
          <w:b/>
          <w:sz w:val="22"/>
          <w:szCs w:val="22"/>
        </w:rPr>
        <w:t xml:space="preserve">Уровень открытости бюджетных данных субъектов </w:t>
      </w:r>
      <w:r w:rsidR="00182CDE">
        <w:rPr>
          <w:rFonts w:ascii="Times New Roman" w:hAnsi="Times New Roman" w:cs="Times New Roman"/>
          <w:b/>
          <w:sz w:val="22"/>
          <w:szCs w:val="22"/>
        </w:rPr>
        <w:t>Российской Ф</w:t>
      </w:r>
      <w:r w:rsidR="00DC6A69" w:rsidRPr="00675142">
        <w:rPr>
          <w:rFonts w:ascii="Times New Roman" w:hAnsi="Times New Roman" w:cs="Times New Roman"/>
          <w:b/>
          <w:sz w:val="22"/>
          <w:szCs w:val="22"/>
        </w:rPr>
        <w:t xml:space="preserve">едерации </w:t>
      </w:r>
      <w:r w:rsidR="00182CDE">
        <w:rPr>
          <w:rFonts w:ascii="Times New Roman" w:hAnsi="Times New Roman" w:cs="Times New Roman"/>
          <w:b/>
          <w:sz w:val="22"/>
          <w:szCs w:val="22"/>
        </w:rPr>
        <w:t>в сравнении с мак</w:t>
      </w:r>
      <w:r w:rsidR="00DC6A69" w:rsidRPr="00675142">
        <w:rPr>
          <w:rFonts w:ascii="Times New Roman" w:hAnsi="Times New Roman" w:cs="Times New Roman"/>
          <w:b/>
          <w:sz w:val="22"/>
          <w:szCs w:val="22"/>
        </w:rPr>
        <w:t>симальным и средним значением</w:t>
      </w:r>
      <w:bookmarkEnd w:id="3"/>
    </w:p>
    <w:p w:rsidR="00DC6A69" w:rsidRPr="00DC6A69" w:rsidRDefault="00DC6A69" w:rsidP="00DC6A69">
      <w:pPr>
        <w:spacing w:before="360" w:after="120" w:line="240" w:lineRule="auto"/>
        <w:jc w:val="center"/>
        <w:rPr>
          <w:rFonts w:ascii="Times New Roman" w:hAnsi="Times New Roman" w:cs="Times New Roman"/>
        </w:rPr>
      </w:pPr>
      <w:r w:rsidRPr="00DC6A69">
        <w:rPr>
          <w:rFonts w:ascii="Times New Roman" w:hAnsi="Times New Roman" w:cs="Times New Roman"/>
        </w:rPr>
        <w:t xml:space="preserve">Рис 1. </w:t>
      </w:r>
      <w:r>
        <w:rPr>
          <w:rFonts w:ascii="Times New Roman" w:hAnsi="Times New Roman" w:cs="Times New Roman"/>
        </w:rPr>
        <w:t xml:space="preserve">Уровень открытости бюджетных данных субъектов </w:t>
      </w:r>
      <w:r w:rsidR="00182CD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едерации в 2016 году по итогам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этапа в сравнении с максимальным и средним значением</w:t>
      </w:r>
    </w:p>
    <w:p w:rsidR="00DC6A69" w:rsidRDefault="00DC6A69" w:rsidP="00DC6A69">
      <w:pPr>
        <w:tabs>
          <w:tab w:val="left" w:pos="426"/>
        </w:tabs>
        <w:spacing w:after="240" w:line="240" w:lineRule="auto"/>
        <w:jc w:val="center"/>
        <w:rPr>
          <w:rFonts w:ascii="Times New Roman" w:hAnsi="Times New Roman" w:cs="Times New Roman"/>
        </w:rPr>
        <w:sectPr w:rsidR="00DC6A69" w:rsidSect="007D4DB1">
          <w:type w:val="continuous"/>
          <w:pgSz w:w="16838" w:h="11906" w:orient="landscape"/>
          <w:pgMar w:top="1134" w:right="851" w:bottom="1134" w:left="851" w:header="709" w:footer="519" w:gutter="0"/>
          <w:cols w:space="708"/>
          <w:docGrid w:linePitch="360"/>
        </w:sectPr>
      </w:pPr>
    </w:p>
    <w:p w:rsidR="004A2BFB" w:rsidRPr="00675142" w:rsidRDefault="00DC6A69" w:rsidP="00675142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Toc452130120"/>
      <w:r w:rsidRPr="00675142">
        <w:rPr>
          <w:rFonts w:ascii="Times New Roman" w:hAnsi="Times New Roman" w:cs="Times New Roman"/>
          <w:b/>
          <w:sz w:val="22"/>
          <w:szCs w:val="22"/>
        </w:rPr>
        <w:lastRenderedPageBreak/>
        <w:t>У</w:t>
      </w:r>
      <w:r w:rsidR="004A2BFB" w:rsidRPr="00675142">
        <w:rPr>
          <w:rFonts w:ascii="Times New Roman" w:hAnsi="Times New Roman" w:cs="Times New Roman"/>
          <w:b/>
          <w:sz w:val="22"/>
          <w:szCs w:val="22"/>
        </w:rPr>
        <w:t>ров</w:t>
      </w:r>
      <w:r w:rsidRPr="00675142">
        <w:rPr>
          <w:rFonts w:ascii="Times New Roman" w:hAnsi="Times New Roman" w:cs="Times New Roman"/>
          <w:b/>
          <w:sz w:val="22"/>
          <w:szCs w:val="22"/>
        </w:rPr>
        <w:t>ень</w:t>
      </w:r>
      <w:r w:rsidR="004A2BFB" w:rsidRPr="00675142">
        <w:rPr>
          <w:rFonts w:ascii="Times New Roman" w:hAnsi="Times New Roman" w:cs="Times New Roman"/>
          <w:b/>
          <w:sz w:val="22"/>
          <w:szCs w:val="22"/>
        </w:rPr>
        <w:t xml:space="preserve"> открытости бюджетных данных по направлениям</w:t>
      </w:r>
      <w:r w:rsidRPr="00675142">
        <w:rPr>
          <w:rFonts w:ascii="Times New Roman" w:hAnsi="Times New Roman" w:cs="Times New Roman"/>
          <w:b/>
          <w:sz w:val="22"/>
          <w:szCs w:val="22"/>
        </w:rPr>
        <w:t xml:space="preserve"> оценки</w:t>
      </w:r>
      <w:bookmarkEnd w:id="4"/>
    </w:p>
    <w:p w:rsidR="00DC6A69" w:rsidRDefault="00DC6A69" w:rsidP="00DC6A6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C6A69">
        <w:rPr>
          <w:rFonts w:ascii="Times New Roman" w:hAnsi="Times New Roman" w:cs="Times New Roman"/>
        </w:rPr>
        <w:t>В 2016 году по итогам I  этапа</w:t>
      </w:r>
      <w:r>
        <w:rPr>
          <w:rFonts w:ascii="Times New Roman" w:hAnsi="Times New Roman" w:cs="Times New Roman"/>
        </w:rPr>
        <w:t xml:space="preserve"> по всем направлениям оценки регионам – лидерам удалось достичь максимального уровня, заданного методикой составления рейтинга. По разделу «Характеристики первоначально утвержденного бюджета» минимальное значение составил</w:t>
      </w:r>
      <w:r w:rsidR="00182CD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25% от максимально возможного уровня</w:t>
      </w:r>
      <w:r w:rsidR="00182CDE">
        <w:rPr>
          <w:rFonts w:ascii="Times New Roman" w:hAnsi="Times New Roman" w:cs="Times New Roman"/>
        </w:rPr>
        <w:t>; по трем д</w:t>
      </w:r>
      <w:r>
        <w:rPr>
          <w:rFonts w:ascii="Times New Roman" w:hAnsi="Times New Roman" w:cs="Times New Roman"/>
        </w:rPr>
        <w:t>ругим направлениям регионы – аутсайдеры получили 0 баллов.</w:t>
      </w:r>
    </w:p>
    <w:p w:rsidR="00DC6A69" w:rsidRPr="00DC6A69" w:rsidRDefault="00DC6A69" w:rsidP="00DC6A6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812DCA" w:rsidRPr="00812DCA" w:rsidRDefault="00812DCA" w:rsidP="00812DC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BDC0E07" wp14:editId="441315EF">
            <wp:extent cx="7667625" cy="39243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2BFB" w:rsidRPr="00DC6A69" w:rsidRDefault="004A2BFB" w:rsidP="00DC6A69">
      <w:pPr>
        <w:tabs>
          <w:tab w:val="left" w:pos="426"/>
        </w:tabs>
        <w:spacing w:before="240" w:after="120" w:line="240" w:lineRule="auto"/>
        <w:jc w:val="center"/>
        <w:rPr>
          <w:rFonts w:ascii="Times New Roman" w:hAnsi="Times New Roman" w:cs="Times New Roman"/>
        </w:rPr>
      </w:pPr>
      <w:r w:rsidRPr="00DC6A69">
        <w:rPr>
          <w:rFonts w:ascii="Times New Roman" w:hAnsi="Times New Roman" w:cs="Times New Roman"/>
        </w:rPr>
        <w:t>Рис. 2. Показатели открытости бюджетных данных по направлениям оценки</w:t>
      </w:r>
    </w:p>
    <w:p w:rsidR="00812DCA" w:rsidRPr="00DC6A69" w:rsidRDefault="00812DCA">
      <w:pPr>
        <w:rPr>
          <w:rFonts w:ascii="Times New Roman" w:hAnsi="Times New Roman" w:cs="Times New Roman"/>
        </w:rPr>
      </w:pPr>
    </w:p>
    <w:p w:rsidR="00147B1D" w:rsidRPr="00675142" w:rsidRDefault="004A2BFB" w:rsidP="00675142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bookmarkStart w:id="5" w:name="_Toc452130121"/>
      <w:r w:rsidR="00147B1D" w:rsidRPr="0067514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Локальный рейтинг по разделу «Характеристики первоначально утвержденного бюджета» </w:t>
      </w:r>
      <w:r w:rsidR="00147B1D" w:rsidRPr="00675142">
        <w:rPr>
          <w:rFonts w:ascii="Times New Roman" w:hAnsi="Times New Roman" w:cs="Times New Roman"/>
          <w:sz w:val="22"/>
          <w:szCs w:val="22"/>
        </w:rPr>
        <w:t>(раздел 1)</w:t>
      </w:r>
      <w:bookmarkEnd w:id="5"/>
    </w:p>
    <w:p w:rsidR="00147B1D" w:rsidRPr="00675142" w:rsidRDefault="00147B1D" w:rsidP="00675142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b/>
          <w:sz w:val="22"/>
          <w:szCs w:val="22"/>
        </w:rPr>
        <w:sectPr w:rsidR="00147B1D" w:rsidRPr="00675142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6941" w:type="dxa"/>
        <w:tblLook w:val="04A0" w:firstRow="1" w:lastRow="0" w:firstColumn="1" w:lastColumn="0" w:noHBand="0" w:noVBand="1"/>
      </w:tblPr>
      <w:tblGrid>
        <w:gridCol w:w="3256"/>
        <w:gridCol w:w="1151"/>
        <w:gridCol w:w="1491"/>
        <w:gridCol w:w="1043"/>
      </w:tblGrid>
      <w:tr w:rsidR="00147B1D" w:rsidRPr="002B1F3E" w:rsidTr="00C321C0">
        <w:trPr>
          <w:trHeight w:val="1152"/>
          <w:tblHeader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                                              Российской Федерации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4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разделу 1</w:t>
            </w:r>
          </w:p>
        </w:tc>
        <w:tc>
          <w:tcPr>
            <w:tcW w:w="10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баллов по разделу 1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Ямало-Ненецкий автономный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г.Севастополь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</w:tbl>
    <w:p w:rsidR="00147B1D" w:rsidRPr="003E371F" w:rsidRDefault="00147B1D" w:rsidP="00147B1D">
      <w:pPr>
        <w:jc w:val="center"/>
        <w:rPr>
          <w:rFonts w:ascii="Times New Roman" w:hAnsi="Times New Roman"/>
          <w:sz w:val="26"/>
          <w:szCs w:val="26"/>
        </w:rPr>
        <w:sectPr w:rsidR="00147B1D" w:rsidRPr="003E371F" w:rsidSect="00147B1D">
          <w:type w:val="continuous"/>
          <w:pgSz w:w="16838" w:h="11906" w:orient="landscape"/>
          <w:pgMar w:top="993" w:right="1134" w:bottom="1701" w:left="1134" w:header="708" w:footer="708" w:gutter="0"/>
          <w:cols w:num="2" w:space="708"/>
          <w:docGrid w:linePitch="360"/>
        </w:sectPr>
      </w:pPr>
    </w:p>
    <w:p w:rsidR="00C321C0" w:rsidRDefault="00C321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21C0" w:rsidRPr="00085661" w:rsidRDefault="00C321C0" w:rsidP="00FD30D1">
      <w:pPr>
        <w:pStyle w:val="1"/>
        <w:spacing w:before="0" w:after="120"/>
        <w:ind w:left="1843" w:right="1670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452130122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Локальный рейтинг по разделу «Публичные сведения о плановых показателях деятельности государственных учреждений субъекта Российской Федерации» </w:t>
      </w:r>
      <w:r w:rsidRPr="00085661">
        <w:rPr>
          <w:rFonts w:ascii="Times New Roman" w:hAnsi="Times New Roman" w:cs="Times New Roman"/>
          <w:sz w:val="22"/>
          <w:szCs w:val="22"/>
        </w:rPr>
        <w:t>(раздел 2)</w:t>
      </w:r>
      <w:bookmarkEnd w:id="6"/>
    </w:p>
    <w:p w:rsidR="00C321C0" w:rsidRPr="00085661" w:rsidRDefault="00C321C0" w:rsidP="00FD30D1">
      <w:pPr>
        <w:pStyle w:val="1"/>
        <w:spacing w:before="0" w:after="120"/>
        <w:ind w:left="1843" w:right="1670"/>
        <w:jc w:val="center"/>
        <w:rPr>
          <w:rFonts w:ascii="Times New Roman" w:hAnsi="Times New Roman" w:cs="Times New Roman"/>
          <w:b/>
          <w:sz w:val="22"/>
          <w:szCs w:val="22"/>
        </w:rPr>
        <w:sectPr w:rsidR="00C321C0" w:rsidRPr="00085661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6369" w:type="dxa"/>
        <w:jc w:val="center"/>
        <w:tblLook w:val="04A0" w:firstRow="1" w:lastRow="0" w:firstColumn="1" w:lastColumn="0" w:noHBand="0" w:noVBand="1"/>
      </w:tblPr>
      <w:tblGrid>
        <w:gridCol w:w="3539"/>
        <w:gridCol w:w="1339"/>
        <w:gridCol w:w="1491"/>
      </w:tblGrid>
      <w:tr w:rsidR="00C321C0" w:rsidRPr="00F178CC" w:rsidTr="00C321C0">
        <w:trPr>
          <w:trHeight w:val="983"/>
          <w:tblHeader/>
          <w:jc w:val="center"/>
        </w:trPr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субъекта </w:t>
            </w:r>
          </w:p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1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4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разделу 2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29-35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F178CC" w:rsidTr="00C321C0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Севастополь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F178CC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7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C321C0" w:rsidRDefault="00C321C0">
      <w:pPr>
        <w:rPr>
          <w:rFonts w:ascii="Times New Roman" w:hAnsi="Times New Roman" w:cs="Times New Roman"/>
          <w:b/>
          <w:sz w:val="26"/>
          <w:szCs w:val="26"/>
        </w:rPr>
        <w:sectPr w:rsidR="00C321C0" w:rsidSect="00C321C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321C0" w:rsidRDefault="00C321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21C0" w:rsidRPr="00085661" w:rsidRDefault="00C321C0" w:rsidP="00085661">
      <w:pPr>
        <w:pStyle w:val="1"/>
        <w:spacing w:before="0"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Toc452130123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Локальный рейтинг по разделу «Бюджет для граждан (закон о бюджете)» </w:t>
      </w:r>
      <w:r w:rsidRPr="00085661">
        <w:rPr>
          <w:rFonts w:ascii="Times New Roman" w:hAnsi="Times New Roman" w:cs="Times New Roman"/>
          <w:sz w:val="22"/>
          <w:szCs w:val="22"/>
        </w:rPr>
        <w:t>(раздел 3)</w:t>
      </w:r>
      <w:bookmarkEnd w:id="7"/>
    </w:p>
    <w:p w:rsidR="00C321C0" w:rsidRPr="00085661" w:rsidRDefault="00C321C0" w:rsidP="00085661">
      <w:pPr>
        <w:pStyle w:val="1"/>
        <w:spacing w:before="0" w:after="120"/>
        <w:jc w:val="center"/>
        <w:rPr>
          <w:rFonts w:ascii="Times New Roman" w:hAnsi="Times New Roman" w:cs="Times New Roman"/>
          <w:b/>
          <w:sz w:val="22"/>
          <w:szCs w:val="22"/>
        </w:rPr>
        <w:sectPr w:rsidR="00C321C0" w:rsidRPr="00085661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3823"/>
        <w:gridCol w:w="1275"/>
        <w:gridCol w:w="1560"/>
      </w:tblGrid>
      <w:tr w:rsidR="00C321C0" w:rsidRPr="00C321C0" w:rsidTr="00C321C0">
        <w:trPr>
          <w:trHeight w:val="696"/>
          <w:tblHeader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субъекта </w:t>
            </w:r>
          </w:p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разделу 3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Севастополь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C321C0" w:rsidRDefault="00C321C0">
      <w:pPr>
        <w:rPr>
          <w:rFonts w:ascii="Times New Roman" w:hAnsi="Times New Roman" w:cs="Times New Roman"/>
          <w:b/>
          <w:sz w:val="26"/>
          <w:szCs w:val="26"/>
        </w:rPr>
        <w:sectPr w:rsidR="00C321C0" w:rsidSect="00C321C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321C0" w:rsidRDefault="00C321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21C0" w:rsidRPr="00085661" w:rsidRDefault="00C321C0" w:rsidP="00085661">
      <w:pPr>
        <w:pStyle w:val="1"/>
        <w:spacing w:before="0"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_Toc452130124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Локальный рейтинг по разделу «Общественное участие (I квартал 2016 года)» </w:t>
      </w:r>
      <w:r w:rsidRPr="00085661">
        <w:rPr>
          <w:rFonts w:ascii="Times New Roman" w:hAnsi="Times New Roman" w:cs="Times New Roman"/>
          <w:sz w:val="22"/>
          <w:szCs w:val="22"/>
        </w:rPr>
        <w:t>(раздел 4)</w:t>
      </w:r>
      <w:bookmarkEnd w:id="8"/>
    </w:p>
    <w:p w:rsidR="00C321C0" w:rsidRPr="00085661" w:rsidRDefault="00C321C0" w:rsidP="00085661">
      <w:pPr>
        <w:pStyle w:val="1"/>
        <w:spacing w:before="0" w:after="120"/>
        <w:jc w:val="center"/>
        <w:rPr>
          <w:rFonts w:ascii="Times New Roman" w:hAnsi="Times New Roman" w:cs="Times New Roman"/>
          <w:sz w:val="22"/>
          <w:szCs w:val="22"/>
        </w:rPr>
        <w:sectPr w:rsidR="00C321C0" w:rsidRPr="00085661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6645" w:type="dxa"/>
        <w:jc w:val="center"/>
        <w:tblLook w:val="04A0" w:firstRow="1" w:lastRow="0" w:firstColumn="1" w:lastColumn="0" w:noHBand="0" w:noVBand="1"/>
      </w:tblPr>
      <w:tblGrid>
        <w:gridCol w:w="3823"/>
        <w:gridCol w:w="1331"/>
        <w:gridCol w:w="1491"/>
      </w:tblGrid>
      <w:tr w:rsidR="00C321C0" w:rsidRPr="00C321C0" w:rsidTr="00C321C0">
        <w:trPr>
          <w:trHeight w:val="980"/>
          <w:tblHeader/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субъекта </w:t>
            </w:r>
          </w:p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4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разделу 4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Ямало-Ненецкий автономный округ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21C0" w:rsidRPr="00C321C0" w:rsidTr="00C321C0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Севастополь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321C0" w:rsidRPr="00C321C0" w:rsidRDefault="00C321C0" w:rsidP="00C321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C321C0" w:rsidRDefault="00C321C0">
      <w:pPr>
        <w:rPr>
          <w:rFonts w:ascii="Times New Roman" w:hAnsi="Times New Roman" w:cs="Times New Roman"/>
          <w:b/>
          <w:sz w:val="26"/>
          <w:szCs w:val="26"/>
        </w:rPr>
        <w:sectPr w:rsidR="00C321C0" w:rsidSect="00C321C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536AC" w:rsidRDefault="006536AC">
      <w:pPr>
        <w:rPr>
          <w:rFonts w:ascii="Times New Roman" w:hAnsi="Times New Roman" w:cs="Times New Roman"/>
          <w:b/>
          <w:sz w:val="26"/>
          <w:szCs w:val="26"/>
        </w:rPr>
      </w:pPr>
    </w:p>
    <w:p w:rsidR="00FD30D1" w:rsidRDefault="00FD30D1">
      <w:pPr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9" w:name="_Toc441579782"/>
      <w:r>
        <w:rPr>
          <w:rFonts w:ascii="Times New Roman" w:hAnsi="Times New Roman"/>
          <w:b/>
          <w:szCs w:val="28"/>
        </w:rPr>
        <w:br w:type="page"/>
      </w:r>
    </w:p>
    <w:p w:rsidR="00FD30D1" w:rsidRPr="00FD30D1" w:rsidRDefault="00FD30D1" w:rsidP="00FD30D1">
      <w:pPr>
        <w:pStyle w:val="1"/>
        <w:spacing w:before="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0" w:name="_Toc452130125"/>
      <w:r w:rsidRPr="00FD30D1">
        <w:rPr>
          <w:rFonts w:ascii="Times New Roman" w:hAnsi="Times New Roman" w:cs="Times New Roman"/>
          <w:b/>
          <w:sz w:val="22"/>
          <w:szCs w:val="22"/>
        </w:rPr>
        <w:lastRenderedPageBreak/>
        <w:t>Библиотека лучшей практики</w:t>
      </w:r>
      <w:r>
        <w:rPr>
          <w:rFonts w:ascii="Times New Roman" w:hAnsi="Times New Roman" w:cs="Times New Roman"/>
          <w:b/>
          <w:sz w:val="22"/>
          <w:szCs w:val="22"/>
        </w:rPr>
        <w:t xml:space="preserve"> за 2016</w:t>
      </w:r>
      <w:r w:rsidRPr="00FD30D1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bookmarkEnd w:id="9"/>
      <w:bookmarkEnd w:id="10"/>
      <w:r w:rsidRPr="00FD30D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D30D1" w:rsidRPr="00675142" w:rsidRDefault="00FD30D1" w:rsidP="00675142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1" w:name="_Toc441579783"/>
      <w:r w:rsidRPr="00675142">
        <w:rPr>
          <w:rFonts w:ascii="Times New Roman" w:eastAsia="Times New Roman" w:hAnsi="Times New Roman" w:cs="Times New Roman"/>
          <w:lang w:eastAsia="ru-RU"/>
        </w:rPr>
        <w:t xml:space="preserve">Раздел 1. Примеры лучшей практики по показателям анкеты для составления рейтинга субъектов Российской Федерации </w:t>
      </w:r>
      <w:r w:rsidR="00675142" w:rsidRPr="006751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675142">
        <w:rPr>
          <w:rFonts w:ascii="Times New Roman" w:eastAsia="Times New Roman" w:hAnsi="Times New Roman" w:cs="Times New Roman"/>
          <w:lang w:eastAsia="ru-RU"/>
        </w:rPr>
        <w:t>по уровню открытости бюджетных данных</w:t>
      </w:r>
      <w:bookmarkEnd w:id="11"/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1701"/>
        <w:gridCol w:w="2693"/>
        <w:gridCol w:w="6379"/>
        <w:gridCol w:w="1559"/>
      </w:tblGrid>
      <w:tr w:rsidR="00FD30D1" w:rsidRPr="00675142" w:rsidTr="00FD30D1">
        <w:trPr>
          <w:trHeight w:val="840"/>
          <w:tblHeader/>
        </w:trPr>
        <w:tc>
          <w:tcPr>
            <w:tcW w:w="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2" w:name="RANGE!A1:F7"/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  <w:bookmarkEnd w:id="12"/>
          </w:p>
        </w:tc>
        <w:tc>
          <w:tcPr>
            <w:tcW w:w="20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примера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субъекта                      Российской Федерации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Ссылка на источник данных </w:t>
            </w:r>
          </w:p>
        </w:tc>
        <w:tc>
          <w:tcPr>
            <w:tcW w:w="63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Отношение к показателю рейтинга</w:t>
            </w:r>
          </w:p>
        </w:tc>
      </w:tr>
      <w:tr w:rsidR="00FD30D1" w:rsidRPr="00675142" w:rsidTr="00FD30D1">
        <w:trPr>
          <w:trHeight w:val="2625"/>
        </w:trPr>
        <w:tc>
          <w:tcPr>
            <w:tcW w:w="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закона о бюджете на сайте, предназначенном для публикации бюджетных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924BB6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3" w:history="1">
              <w:r w:rsidR="00FD30D1" w:rsidRPr="006751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http://minfin.krskstate.ru/openbudget/budget</w:t>
              </w:r>
            </w:hyperlink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Логичная структура раздела (Открытый бюджет) и подраздела (Законы о краевом бюджете) сайта, в которых опубликован закон о бюджете. На странице вместе с законом о бюджете опубликованы: а) проект закона о бюджете и материалы к нему; б) закон о внесении изменений в закон о бюджете, а также проект указанного закона. В такой структуре страница наполняется, начиная с 2012 года. Использован технически грамотный подход: по ссылке "Закон Красноярского края от 02.12.2015 г. № 9-3931 "О краевом бюджете на 2016 год и плановый период 2017-2018 годов" осуществляется переадресация на страницу Официального интернет портала правовой информации Красноярского края, где опубликован закон. Указана дата официальной публикации документа (18.12.2015 г.). Закон опубликован в структурированном виде, с указанием полных наименований всех его составляющих непосредственно на сайте. Закон опубликован в графическом формате и в формате word (текст закона, отдельные приложения) и excel (приложения).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1.1</w:t>
            </w:r>
          </w:p>
        </w:tc>
      </w:tr>
      <w:tr w:rsidR="00FD30D1" w:rsidRPr="00675142" w:rsidTr="00FD30D1">
        <w:trPr>
          <w:trHeight w:val="2355"/>
        </w:trPr>
        <w:tc>
          <w:tcPr>
            <w:tcW w:w="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закона о бюджете на сайте, предназначенном для публикации бюджетных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http://mf.omskportal.ru/ru/RegionalPublicAuthorities/executivelist/MF/otkrbudg/zakonoblbudg/2016.html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Логичная структура раздела "Открытый бюджет" и подраздела "Закон об областном бюджете" сайта, в которых опубликован закон о бюджете. В подразделе вместе с первоначально принятым законом публикуются изменения к нему. В такой структуре раздел наполняется с 2015 года. Закон опубликован в структурированном виде, с указанием полных наименований всех его составляющих непосредственно на сайте. На странице, где опубликован закон, также размещена брошюра "Бюджет для граждан".  Указана дата публикации документов. Закон опубликован в графическом формате и в формате word (текст закона, отдельные приложения) и excel (приложения). Есть возможность скачать закон о бюджете с приложениями одним архивом, а также зайти в каждую составляющую закона о бюджете непосредственно с портала.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1.1</w:t>
            </w:r>
          </w:p>
        </w:tc>
      </w:tr>
      <w:tr w:rsidR="00FD30D1" w:rsidRPr="00675142" w:rsidTr="00FD30D1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в законе о бюджете об общем объеме субсидий местным бюджетам и их распределении по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Астраханской области от 28 декабря 2015 г. № 99/2015-ОЗ "О бюджете Астраханской области на 2016 год", статья 10, Приложение 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статье 10 закона определен общий объем субсидий местным бюджетам. Распределено законом о бюджете по муниципальным образованиям 100 % субсидий, предусмотренных местным бюджетам (Приложение 11). Всего предусмотрено 11 видов субсидий; для 6 из них указано, в рамках каких государственных программ области они предоставляются.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1.5</w:t>
            </w:r>
          </w:p>
        </w:tc>
      </w:tr>
      <w:tr w:rsidR="00FD30D1" w:rsidRPr="00675142" w:rsidTr="00FD30D1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в законе о бюджете об общем объеме субсидий местным бюджетам и их распределении по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Магаданской области от 25 декабря 2015 г. № 1986-ОЗ "Об областном бюджете на 2016 год", статья 14, Приложение 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статье 14 определен общий объем субсидий местным бюджетам. Распределено законом о бюджете по муниципальным образованиям 100 % субсидий, предусмотренных местным бюджетам (Приложение 12). Всего предусмотрено 26 видов субсидий, для всех из них указано, в рамках каких государственных программ области они предоставляются.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1.5</w:t>
            </w:r>
          </w:p>
        </w:tc>
      </w:tr>
      <w:tr w:rsidR="00FD30D1" w:rsidRPr="00675142" w:rsidTr="00FD30D1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в законе о бюджете об общем объеме субсидий местным бюджетам и их распределении по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Чукотского автономного округа от 17 декабря 2015 г. № 134-ОЗ "Об окружном бюджете на 2016 год", статья 8 часть 1 пункт 5, Приложения 20-25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пункте 5 части 2 статьи 8 определен общий объем субсидий местным бюджетам, а также содержится их перечень с указанием объемов. Распределено законом о бюджете по муниципальным образованиям 100 % субсидий, предусмотренных местным бюджетам (Приложения 20-25). Всего предусмотрено 13 видов субсидий.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1.5</w:t>
            </w:r>
          </w:p>
        </w:tc>
      </w:tr>
    </w:tbl>
    <w:p w:rsidR="00FD30D1" w:rsidRDefault="00FD30D1">
      <w:pPr>
        <w:rPr>
          <w:rFonts w:ascii="Times New Roman" w:hAnsi="Times New Roman" w:cs="Times New Roman"/>
          <w:b/>
          <w:sz w:val="26"/>
          <w:szCs w:val="26"/>
        </w:rPr>
      </w:pPr>
    </w:p>
    <w:p w:rsidR="00FD30D1" w:rsidRPr="00675142" w:rsidRDefault="00FD30D1" w:rsidP="00675142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3" w:name="_Toc441579784"/>
      <w:r w:rsidRPr="00675142">
        <w:rPr>
          <w:rFonts w:ascii="Times New Roman" w:eastAsia="Times New Roman" w:hAnsi="Times New Roman" w:cs="Times New Roman"/>
          <w:lang w:eastAsia="ru-RU"/>
        </w:rPr>
        <w:t xml:space="preserve">Раздел 2. Примеры лучшей практики реализации субъектами Российской Федерации инновационных мер и механизмов, </w:t>
      </w:r>
      <w:r w:rsidR="00675142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675142">
        <w:rPr>
          <w:rFonts w:ascii="Times New Roman" w:eastAsia="Times New Roman" w:hAnsi="Times New Roman" w:cs="Times New Roman"/>
          <w:lang w:eastAsia="ru-RU"/>
        </w:rPr>
        <w:t>направленных на обеспечение открытости бюджетных данных и вовлечение граждан в процессы бюджетного планирования и контроля</w:t>
      </w:r>
      <w:bookmarkEnd w:id="13"/>
    </w:p>
    <w:tbl>
      <w:tblPr>
        <w:tblW w:w="14879" w:type="dxa"/>
        <w:tblLook w:val="04A0" w:firstRow="1" w:lastRow="0" w:firstColumn="1" w:lastColumn="0" w:noHBand="0" w:noVBand="1"/>
      </w:tblPr>
      <w:tblGrid>
        <w:gridCol w:w="600"/>
        <w:gridCol w:w="3364"/>
        <w:gridCol w:w="1560"/>
        <w:gridCol w:w="3033"/>
        <w:gridCol w:w="6322"/>
      </w:tblGrid>
      <w:tr w:rsidR="00FD30D1" w:rsidRPr="00675142" w:rsidTr="00FD30D1">
        <w:trPr>
          <w:trHeight w:val="810"/>
        </w:trPr>
        <w:tc>
          <w:tcPr>
            <w:tcW w:w="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4" w:name="RANGE!A1:E3"/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  <w:bookmarkEnd w:id="14"/>
          </w:p>
        </w:tc>
        <w:tc>
          <w:tcPr>
            <w:tcW w:w="33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примера 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0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D30D1" w:rsidRPr="00675142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Ссылка на источник данных </w:t>
            </w:r>
          </w:p>
        </w:tc>
        <w:tc>
          <w:tcPr>
            <w:tcW w:w="63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D30D1" w:rsidRPr="00675142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</w:tr>
      <w:tr w:rsidR="00FD30D1" w:rsidRPr="00675142" w:rsidTr="00FD30D1">
        <w:trPr>
          <w:trHeight w:val="2115"/>
        </w:trPr>
        <w:tc>
          <w:tcPr>
            <w:tcW w:w="6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Доступны версии сайта, где публикуются бюджетные данные (сайт Министерства финансов Республики Татарстан), на русском языке (является государственным языком Российской Федерации на всей ее территории) и татарском языке (является государственным языком в Республике Тата</w:t>
            </w:r>
            <w:r w:rsidR="009A7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рстан наряду с русским языком)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924BB6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4" w:history="1">
              <w:r w:rsidR="00FD30D1" w:rsidRPr="006751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http://minfin.tatarstan.ru/index.htm</w:t>
              </w:r>
            </w:hyperlink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Конституции Российской Федерации, республики вправе устанавливать свои государственные языки;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 На сайте Министерства финансов Республики Татарстан доступна версия на татарском языке. Переведено большинство материалов сайта.</w:t>
            </w:r>
          </w:p>
        </w:tc>
      </w:tr>
    </w:tbl>
    <w:p w:rsidR="00FD30D1" w:rsidRDefault="00FD30D1">
      <w:pPr>
        <w:rPr>
          <w:rFonts w:ascii="Times New Roman" w:hAnsi="Times New Roman" w:cs="Times New Roman"/>
          <w:b/>
          <w:sz w:val="26"/>
          <w:szCs w:val="26"/>
        </w:rPr>
      </w:pPr>
    </w:p>
    <w:p w:rsidR="006D1AC5" w:rsidRDefault="006D1AC5">
      <w:pPr>
        <w:rPr>
          <w:rFonts w:ascii="Times New Roman" w:eastAsiaTheme="maj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C6A69" w:rsidRDefault="00DC6A69" w:rsidP="00DC6A69">
      <w:pPr>
        <w:pStyle w:val="1"/>
        <w:spacing w:before="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5" w:name="_Toc452130126"/>
      <w:r w:rsidRPr="00DC6A69">
        <w:rPr>
          <w:rFonts w:ascii="Times New Roman" w:hAnsi="Times New Roman" w:cs="Times New Roman"/>
          <w:b/>
          <w:sz w:val="22"/>
          <w:szCs w:val="22"/>
        </w:rPr>
        <w:lastRenderedPageBreak/>
        <w:t>Лидеры и аутсайдеры рейтинга открытости бюджетных данных в 2016 году по итогам I этапа</w:t>
      </w:r>
      <w:bookmarkEnd w:id="15"/>
    </w:p>
    <w:tbl>
      <w:tblPr>
        <w:tblStyle w:val="af"/>
        <w:tblW w:w="15026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6237"/>
        <w:gridCol w:w="6379"/>
      </w:tblGrid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  <w:r w:rsidR="00675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оценки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>Регионы - лидеры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>Регионы - аутсайдеры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Рейтинг по итогам </w:t>
            </w:r>
            <w:r w:rsidRPr="006751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этапа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2D3B27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2D3B27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 – Алания, Хабаровский край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Характеристики первоначально утвержденного бюджета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675142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4 региона: </w:t>
            </w:r>
            <w:r w:rsidR="006D1AC5" w:rsidRPr="00675142">
              <w:rPr>
                <w:rFonts w:ascii="Times New Roman" w:hAnsi="Times New Roman" w:cs="Times New Roman"/>
                <w:sz w:val="18"/>
                <w:szCs w:val="18"/>
              </w:rPr>
              <w:t>Ненецкий автономный округ, Республика Адыгея, Астраханская область, Оренбургская область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675142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2 региона: </w:t>
            </w:r>
            <w:r w:rsidR="006D1AC5" w:rsidRPr="00675142">
              <w:rPr>
                <w:rFonts w:ascii="Times New Roman" w:hAnsi="Times New Roman" w:cs="Times New Roman"/>
                <w:sz w:val="18"/>
                <w:szCs w:val="18"/>
              </w:rPr>
              <w:t>Республика Коми, Нижегородская область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Сведения о плановых показателях деятельности государственных учреждений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2D3B27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10 регионов: </w:t>
            </w:r>
            <w:r w:rsidR="006D1AC5" w:rsidRPr="00675142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Тамбовская область, Республика Коми, Краснодарский край, Чувашская Республика, Оренбургская область, Саратовская область, Ульяновская область, Ханты-Мансийский автономный округ, Республика Алтай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6D1AC5" w:rsidP="0067514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38 регионов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Липецкая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Рязанская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Смоленская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Калининградская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Псковская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Ненецкий автономный округ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Дагестан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Ингушетия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Кабардино-Балкарская Республика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Карачаево-Черкесская Республика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Северная Осетия 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 xml:space="preserve"> Алания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Мордовия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 (Татарстан)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Удмуртская Республика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Нижегородская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Челябинская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Тыва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Хакасия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Забайкальский край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Кемеровская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Саха (Якутия)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Еврейская автономная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Чукотский автономный округ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г. Севастополь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Бюджет для граждан (закон о бюджете)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2D3B27" w:rsidP="002D3B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22 региона: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Владимирская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Ивановская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Курская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Липецкая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Тамбовская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Вологодская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Мурманская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г.Санкт-Петербург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Адыгея (Адыгея)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Астраханская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Ставропольский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Нижегородская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Тюменская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Челябинская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Ханты-Мансийский автономный округ 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 Югра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Омская область</w:t>
            </w:r>
          </w:p>
        </w:tc>
        <w:tc>
          <w:tcPr>
            <w:tcW w:w="6379" w:type="dxa"/>
            <w:shd w:val="clear" w:color="auto" w:fill="auto"/>
          </w:tcPr>
          <w:p w:rsidR="002D3B27" w:rsidRPr="00675142" w:rsidRDefault="002D3B27" w:rsidP="002D3B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10 регионов: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Псковская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Ингушетия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Северная Осетия 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 Алания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 (Татарстан)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Тыва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Хабаровский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Амурская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Общественное участие </w:t>
            </w:r>
            <w:r w:rsidR="00675142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2016 года)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675142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2 региона: 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Республика Алтай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2D3B27" w:rsidP="0036762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34 региона: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Брянская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Владимирская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Костромская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Липецкая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Калининградская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Псковская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г.Санкт-Петербург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Калмыкия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Астраханская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Ростовская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Дагестан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Карачаево-Черкесская Республика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Северная Осетия 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 Алания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Марий-Эл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Нижегородская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Тюменская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Челябинская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Ханты-Мансийский автономный округ 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 Югра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Тыва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Хакасия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Забайкальский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Кемеровская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Хабаровский край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Еврейская автономная область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Чукотский автономный округ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Севастополь</w:t>
            </w:r>
          </w:p>
        </w:tc>
      </w:tr>
    </w:tbl>
    <w:p w:rsidR="006D1AC5" w:rsidRDefault="006D1AC5" w:rsidP="006D1AC5"/>
    <w:sectPr w:rsidR="006D1AC5" w:rsidSect="006536A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B6" w:rsidRDefault="00924BB6" w:rsidP="00C321C0">
      <w:pPr>
        <w:spacing w:after="0" w:line="240" w:lineRule="auto"/>
      </w:pPr>
      <w:r>
        <w:separator/>
      </w:r>
    </w:p>
  </w:endnote>
  <w:endnote w:type="continuationSeparator" w:id="0">
    <w:p w:rsidR="00924BB6" w:rsidRDefault="00924BB6" w:rsidP="00C3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218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12DCA" w:rsidRPr="00C321C0" w:rsidRDefault="00812DCA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321C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321C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321C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19DF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C321C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12DCA" w:rsidRDefault="00812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B6" w:rsidRDefault="00924BB6" w:rsidP="00C321C0">
      <w:pPr>
        <w:spacing w:after="0" w:line="240" w:lineRule="auto"/>
      </w:pPr>
      <w:r>
        <w:separator/>
      </w:r>
    </w:p>
  </w:footnote>
  <w:footnote w:type="continuationSeparator" w:id="0">
    <w:p w:rsidR="00924BB6" w:rsidRDefault="00924BB6" w:rsidP="00C3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64B"/>
    <w:multiLevelType w:val="hybridMultilevel"/>
    <w:tmpl w:val="BCBCEA8E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0"/>
    <w:rsid w:val="000406B6"/>
    <w:rsid w:val="00085661"/>
    <w:rsid w:val="00147B1D"/>
    <w:rsid w:val="001720A3"/>
    <w:rsid w:val="00182CDE"/>
    <w:rsid w:val="001B0183"/>
    <w:rsid w:val="002A08DA"/>
    <w:rsid w:val="002B1F3E"/>
    <w:rsid w:val="002D3B27"/>
    <w:rsid w:val="0031708C"/>
    <w:rsid w:val="0036134D"/>
    <w:rsid w:val="00367624"/>
    <w:rsid w:val="004A2BFB"/>
    <w:rsid w:val="005132D7"/>
    <w:rsid w:val="0055497B"/>
    <w:rsid w:val="005677BC"/>
    <w:rsid w:val="006536AC"/>
    <w:rsid w:val="0066308E"/>
    <w:rsid w:val="00675142"/>
    <w:rsid w:val="006D1AC5"/>
    <w:rsid w:val="006D4594"/>
    <w:rsid w:val="00771FA1"/>
    <w:rsid w:val="00785E21"/>
    <w:rsid w:val="00812DCA"/>
    <w:rsid w:val="00924BB6"/>
    <w:rsid w:val="00971980"/>
    <w:rsid w:val="009A7476"/>
    <w:rsid w:val="00C321C0"/>
    <w:rsid w:val="00DA19DF"/>
    <w:rsid w:val="00DC6A69"/>
    <w:rsid w:val="00F178CC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72DC-8A80-464A-A42D-4D573253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3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1C0"/>
  </w:style>
  <w:style w:type="paragraph" w:styleId="a5">
    <w:name w:val="footer"/>
    <w:basedOn w:val="a"/>
    <w:link w:val="a6"/>
    <w:uiPriority w:val="99"/>
    <w:unhideWhenUsed/>
    <w:rsid w:val="00C3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1C0"/>
  </w:style>
  <w:style w:type="character" w:styleId="a7">
    <w:name w:val="Hyperlink"/>
    <w:basedOn w:val="a0"/>
    <w:uiPriority w:val="99"/>
    <w:unhideWhenUsed/>
    <w:rsid w:val="002A08D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A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08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3613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3613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unhideWhenUsed/>
    <w:rsid w:val="0036134D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85661"/>
    <w:rPr>
      <w:color w:val="954F72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085661"/>
    <w:pPr>
      <w:ind w:left="0"/>
      <w:outlineLvl w:val="9"/>
    </w:pPr>
    <w:rPr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5661"/>
    <w:pPr>
      <w:spacing w:after="100"/>
    </w:pPr>
  </w:style>
  <w:style w:type="table" w:styleId="af">
    <w:name w:val="Table Grid"/>
    <w:basedOn w:val="a1"/>
    <w:uiPriority w:val="39"/>
    <w:rsid w:val="006D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i.ru/ru/rating/methodology.html" TargetMode="External"/><Relationship Id="rId13" Type="http://schemas.openxmlformats.org/officeDocument/2006/relationships/hyperlink" Target="http://minfin.krskstate.ru/openbudget/budg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sman.ru/?news=30139" TargetMode="External"/><Relationship Id="rId14" Type="http://schemas.openxmlformats.org/officeDocument/2006/relationships/hyperlink" Target="http://minfin.tatarstan.ru/index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Значение региона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Лист1!$A$2:$A$86</c:f>
              <c:strCache>
                <c:ptCount val="85"/>
                <c:pt idx="0">
                  <c:v>Оренбургская область</c:v>
                </c:pt>
                <c:pt idx="1">
                  <c:v>Краснодарский край</c:v>
                </c:pt>
                <c:pt idx="2">
                  <c:v>Ставропольский край</c:v>
                </c:pt>
                <c:pt idx="3">
                  <c:v>Иркутская область</c:v>
                </c:pt>
                <c:pt idx="4">
                  <c:v>Мурманская область</c:v>
                </c:pt>
                <c:pt idx="5">
                  <c:v>Республика Алтай</c:v>
                </c:pt>
                <c:pt idx="6">
                  <c:v>Омская область</c:v>
                </c:pt>
                <c:pt idx="7">
                  <c:v>Тамбовская область</c:v>
                </c:pt>
                <c:pt idx="8">
                  <c:v>Саратовская область</c:v>
                </c:pt>
                <c:pt idx="9">
                  <c:v>Новгородская область</c:v>
                </c:pt>
                <c:pt idx="10">
                  <c:v>Республика Адыгея (Адыгея)</c:v>
                </c:pt>
                <c:pt idx="11">
                  <c:v>Республика Башкортостан</c:v>
                </c:pt>
                <c:pt idx="12">
                  <c:v>Красноярский край</c:v>
                </c:pt>
                <c:pt idx="13">
                  <c:v>Курская область</c:v>
                </c:pt>
                <c:pt idx="14">
                  <c:v>Московская область</c:v>
                </c:pt>
                <c:pt idx="15">
                  <c:v>Ханты-Мансийский автономный округ - Югра</c:v>
                </c:pt>
                <c:pt idx="16">
                  <c:v>Магаданская область</c:v>
                </c:pt>
                <c:pt idx="17">
                  <c:v>Астраханская область</c:v>
                </c:pt>
                <c:pt idx="18">
                  <c:v>Ульяновская область</c:v>
                </c:pt>
                <c:pt idx="19">
                  <c:v>Тюменская область</c:v>
                </c:pt>
                <c:pt idx="20">
                  <c:v>Чувашская Республика - Чувашия</c:v>
                </c:pt>
                <c:pt idx="21">
                  <c:v>Республика Коми</c:v>
                </c:pt>
                <c:pt idx="22">
                  <c:v>Архангельская область</c:v>
                </c:pt>
                <c:pt idx="23">
                  <c:v>Алтайский край</c:v>
                </c:pt>
                <c:pt idx="24">
                  <c:v>Владимирская область</c:v>
                </c:pt>
                <c:pt idx="25">
                  <c:v>Вологодская область</c:v>
                </c:pt>
                <c:pt idx="26">
                  <c:v>Пермский край</c:v>
                </c:pt>
                <c:pt idx="27">
                  <c:v>Кировская область</c:v>
                </c:pt>
                <c:pt idx="28">
                  <c:v>Воронежская область</c:v>
                </c:pt>
                <c:pt idx="29">
                  <c:v>Тверская область</c:v>
                </c:pt>
                <c:pt idx="30">
                  <c:v>Тульская область</c:v>
                </c:pt>
                <c:pt idx="31">
                  <c:v>Ненецкий автономный округ</c:v>
                </c:pt>
                <c:pt idx="32">
                  <c:v>Республика Калмыкия</c:v>
                </c:pt>
                <c:pt idx="33">
                  <c:v>Республика Татарстан (Татарстан)</c:v>
                </c:pt>
                <c:pt idx="34">
                  <c:v>Амурская область</c:v>
                </c:pt>
                <c:pt idx="35">
                  <c:v>Белгородская область</c:v>
                </c:pt>
                <c:pt idx="36">
                  <c:v>Ивановская область</c:v>
                </c:pt>
                <c:pt idx="37">
                  <c:v>Рязанская область</c:v>
                </c:pt>
                <c:pt idx="38">
                  <c:v>Смоленская область</c:v>
                </c:pt>
                <c:pt idx="39">
                  <c:v>Республика Карелия</c:v>
                </c:pt>
                <c:pt idx="40">
                  <c:v>Ленинградская область</c:v>
                </c:pt>
                <c:pt idx="41">
                  <c:v>Ямало-Ненецкий автономный округ</c:v>
                </c:pt>
                <c:pt idx="42">
                  <c:v>Томская область</c:v>
                </c:pt>
                <c:pt idx="43">
                  <c:v>Камчатский край</c:v>
                </c:pt>
                <c:pt idx="44">
                  <c:v>Чукотский автономный округ</c:v>
                </c:pt>
                <c:pt idx="45">
                  <c:v>Липецкая область</c:v>
                </c:pt>
                <c:pt idx="46">
                  <c:v>Ростовская область</c:v>
                </c:pt>
                <c:pt idx="47">
                  <c:v>Пензенская область</c:v>
                </c:pt>
                <c:pt idx="48">
                  <c:v>Республика Крым</c:v>
                </c:pt>
                <c:pt idx="49">
                  <c:v>Республика Бурятия</c:v>
                </c:pt>
                <c:pt idx="50">
                  <c:v>Республика Саха (Якутия)</c:v>
                </c:pt>
                <c:pt idx="51">
                  <c:v>Брянская область</c:v>
                </c:pt>
                <c:pt idx="52">
                  <c:v>Костромская область</c:v>
                </c:pt>
                <c:pt idx="53">
                  <c:v>г.Санкт-Петербург</c:v>
                </c:pt>
                <c:pt idx="54">
                  <c:v>Кабардино-Балкарская Республика</c:v>
                </c:pt>
                <c:pt idx="55">
                  <c:v>Карачаево-Черкесская Республика</c:v>
                </c:pt>
                <c:pt idx="56">
                  <c:v>Республика Марий-Эл</c:v>
                </c:pt>
                <c:pt idx="57">
                  <c:v>Удмуртская Республика</c:v>
                </c:pt>
                <c:pt idx="58">
                  <c:v>Курганская область</c:v>
                </c:pt>
                <c:pt idx="59">
                  <c:v>Свердловская область</c:v>
                </c:pt>
                <c:pt idx="60">
                  <c:v>г.Москва </c:v>
                </c:pt>
                <c:pt idx="61">
                  <c:v>Челябинская область</c:v>
                </c:pt>
                <c:pt idx="62">
                  <c:v>Приморский край </c:v>
                </c:pt>
                <c:pt idx="63">
                  <c:v>Республика Дагестан</c:v>
                </c:pt>
                <c:pt idx="64">
                  <c:v>Калининградская область</c:v>
                </c:pt>
                <c:pt idx="65">
                  <c:v>Чеченская Республика</c:v>
                </c:pt>
                <c:pt idx="66">
                  <c:v>Республика Мордовия</c:v>
                </c:pt>
                <c:pt idx="67">
                  <c:v>Самарская область</c:v>
                </c:pt>
                <c:pt idx="68">
                  <c:v>Сахалинская область</c:v>
                </c:pt>
                <c:pt idx="69">
                  <c:v>Псковская область</c:v>
                </c:pt>
                <c:pt idx="70">
                  <c:v>Волгоградская область</c:v>
                </c:pt>
                <c:pt idx="71">
                  <c:v>Республика Хакасия</c:v>
                </c:pt>
                <c:pt idx="72">
                  <c:v>Еврейская автономная область</c:v>
                </c:pt>
                <c:pt idx="73">
                  <c:v>Орловская область</c:v>
                </c:pt>
                <c:pt idx="74">
                  <c:v>Ярославская область</c:v>
                </c:pt>
                <c:pt idx="75">
                  <c:v>Нижегородская область</c:v>
                </c:pt>
                <c:pt idx="76">
                  <c:v>Кемеровская область</c:v>
                </c:pt>
                <c:pt idx="77">
                  <c:v>Новосибирская область</c:v>
                </c:pt>
                <c:pt idx="78">
                  <c:v>Калужская область</c:v>
                </c:pt>
                <c:pt idx="79">
                  <c:v>Республика Тыва</c:v>
                </c:pt>
                <c:pt idx="80">
                  <c:v>Забайкальский край</c:v>
                </c:pt>
                <c:pt idx="81">
                  <c:v>Республика Ингушетия</c:v>
                </c:pt>
                <c:pt idx="82">
                  <c:v>г.Севастополь</c:v>
                </c:pt>
                <c:pt idx="83">
                  <c:v>Республика Северная Осетия - Алания</c:v>
                </c:pt>
                <c:pt idx="84">
                  <c:v>Хабаровский край</c:v>
                </c:pt>
              </c:strCache>
            </c:strRef>
          </c:cat>
          <c:val>
            <c:numRef>
              <c:f>Лист1!$B$2:$B$86</c:f>
              <c:numCache>
                <c:formatCode>#,##0.0</c:formatCode>
                <c:ptCount val="85"/>
                <c:pt idx="0">
                  <c:v>100</c:v>
                </c:pt>
                <c:pt idx="1">
                  <c:v>81.818181818181827</c:v>
                </c:pt>
                <c:pt idx="2">
                  <c:v>81.818181818181827</c:v>
                </c:pt>
                <c:pt idx="3">
                  <c:v>81.818181818181827</c:v>
                </c:pt>
                <c:pt idx="4">
                  <c:v>78.787878787878782</c:v>
                </c:pt>
                <c:pt idx="5">
                  <c:v>78.787878787878782</c:v>
                </c:pt>
                <c:pt idx="6">
                  <c:v>78.787878787878782</c:v>
                </c:pt>
                <c:pt idx="7">
                  <c:v>75.757575757575751</c:v>
                </c:pt>
                <c:pt idx="8">
                  <c:v>75.757575757575751</c:v>
                </c:pt>
                <c:pt idx="9">
                  <c:v>72.727272727272734</c:v>
                </c:pt>
                <c:pt idx="10">
                  <c:v>72.727272727272734</c:v>
                </c:pt>
                <c:pt idx="11">
                  <c:v>72.727272727272734</c:v>
                </c:pt>
                <c:pt idx="12">
                  <c:v>72.727272727272734</c:v>
                </c:pt>
                <c:pt idx="13">
                  <c:v>63.636363636363633</c:v>
                </c:pt>
                <c:pt idx="14">
                  <c:v>63.636363636363633</c:v>
                </c:pt>
                <c:pt idx="15">
                  <c:v>63.636363636363633</c:v>
                </c:pt>
                <c:pt idx="16">
                  <c:v>60.606060606060609</c:v>
                </c:pt>
                <c:pt idx="17">
                  <c:v>57.575757575757578</c:v>
                </c:pt>
                <c:pt idx="18">
                  <c:v>57.575757575757578</c:v>
                </c:pt>
                <c:pt idx="19">
                  <c:v>54.54545454545454</c:v>
                </c:pt>
                <c:pt idx="20">
                  <c:v>53.030303030303031</c:v>
                </c:pt>
                <c:pt idx="21">
                  <c:v>51.515151515151516</c:v>
                </c:pt>
                <c:pt idx="22">
                  <c:v>51.515151515151516</c:v>
                </c:pt>
                <c:pt idx="23">
                  <c:v>51.515151515151516</c:v>
                </c:pt>
                <c:pt idx="24">
                  <c:v>48.484848484848484</c:v>
                </c:pt>
                <c:pt idx="25">
                  <c:v>48.484848484848484</c:v>
                </c:pt>
                <c:pt idx="26">
                  <c:v>48.484848484848484</c:v>
                </c:pt>
                <c:pt idx="27">
                  <c:v>48.484848484848484</c:v>
                </c:pt>
                <c:pt idx="28">
                  <c:v>45.454545454545453</c:v>
                </c:pt>
                <c:pt idx="29">
                  <c:v>45.454545454545453</c:v>
                </c:pt>
                <c:pt idx="30">
                  <c:v>45.454545454545453</c:v>
                </c:pt>
                <c:pt idx="31">
                  <c:v>45.454545454545453</c:v>
                </c:pt>
                <c:pt idx="32">
                  <c:v>45.454545454545453</c:v>
                </c:pt>
                <c:pt idx="33">
                  <c:v>45.454545454545453</c:v>
                </c:pt>
                <c:pt idx="34">
                  <c:v>45.454545454545453</c:v>
                </c:pt>
                <c:pt idx="35">
                  <c:v>42.424242424242422</c:v>
                </c:pt>
                <c:pt idx="36">
                  <c:v>42.424242424242422</c:v>
                </c:pt>
                <c:pt idx="37">
                  <c:v>42.424242424242422</c:v>
                </c:pt>
                <c:pt idx="38">
                  <c:v>42.424242424242422</c:v>
                </c:pt>
                <c:pt idx="39">
                  <c:v>42.424242424242422</c:v>
                </c:pt>
                <c:pt idx="40">
                  <c:v>42.424242424242422</c:v>
                </c:pt>
                <c:pt idx="41">
                  <c:v>42.424242424242422</c:v>
                </c:pt>
                <c:pt idx="42">
                  <c:v>42.424242424242422</c:v>
                </c:pt>
                <c:pt idx="43">
                  <c:v>42.424242424242422</c:v>
                </c:pt>
                <c:pt idx="44">
                  <c:v>42.424242424242422</c:v>
                </c:pt>
                <c:pt idx="45">
                  <c:v>39.393939393939391</c:v>
                </c:pt>
                <c:pt idx="46">
                  <c:v>39.393939393939391</c:v>
                </c:pt>
                <c:pt idx="47">
                  <c:v>39.393939393939391</c:v>
                </c:pt>
                <c:pt idx="48">
                  <c:v>39.393939393939391</c:v>
                </c:pt>
                <c:pt idx="49">
                  <c:v>37.878787878787875</c:v>
                </c:pt>
                <c:pt idx="50">
                  <c:v>37.878787878787875</c:v>
                </c:pt>
                <c:pt idx="51">
                  <c:v>36.363636363636367</c:v>
                </c:pt>
                <c:pt idx="52">
                  <c:v>36.363636363636367</c:v>
                </c:pt>
                <c:pt idx="53">
                  <c:v>36.363636363636367</c:v>
                </c:pt>
                <c:pt idx="54">
                  <c:v>36.363636363636367</c:v>
                </c:pt>
                <c:pt idx="55">
                  <c:v>36.363636363636367</c:v>
                </c:pt>
                <c:pt idx="56">
                  <c:v>36.363636363636367</c:v>
                </c:pt>
                <c:pt idx="57">
                  <c:v>36.363636363636367</c:v>
                </c:pt>
                <c:pt idx="58">
                  <c:v>36.363636363636367</c:v>
                </c:pt>
                <c:pt idx="59">
                  <c:v>36.363636363636367</c:v>
                </c:pt>
                <c:pt idx="60">
                  <c:v>33.333333333333329</c:v>
                </c:pt>
                <c:pt idx="61">
                  <c:v>33.333333333333329</c:v>
                </c:pt>
                <c:pt idx="62">
                  <c:v>33.333333333333329</c:v>
                </c:pt>
                <c:pt idx="63">
                  <c:v>31.818181818181817</c:v>
                </c:pt>
                <c:pt idx="64">
                  <c:v>30.303030303030305</c:v>
                </c:pt>
                <c:pt idx="65">
                  <c:v>30.303030303030305</c:v>
                </c:pt>
                <c:pt idx="66">
                  <c:v>30.303030303030305</c:v>
                </c:pt>
                <c:pt idx="67">
                  <c:v>30.303030303030305</c:v>
                </c:pt>
                <c:pt idx="68">
                  <c:v>30.303030303030305</c:v>
                </c:pt>
                <c:pt idx="69">
                  <c:v>27.27272727272727</c:v>
                </c:pt>
                <c:pt idx="70">
                  <c:v>27.27272727272727</c:v>
                </c:pt>
                <c:pt idx="71">
                  <c:v>27.27272727272727</c:v>
                </c:pt>
                <c:pt idx="72">
                  <c:v>25.757575757575758</c:v>
                </c:pt>
                <c:pt idx="73">
                  <c:v>24.242424242424242</c:v>
                </c:pt>
                <c:pt idx="74">
                  <c:v>24.242424242424242</c:v>
                </c:pt>
                <c:pt idx="75">
                  <c:v>24.242424242424242</c:v>
                </c:pt>
                <c:pt idx="76">
                  <c:v>24.242424242424242</c:v>
                </c:pt>
                <c:pt idx="77">
                  <c:v>24.242424242424242</c:v>
                </c:pt>
                <c:pt idx="78">
                  <c:v>21.212121212121211</c:v>
                </c:pt>
                <c:pt idx="79">
                  <c:v>21.212121212121211</c:v>
                </c:pt>
                <c:pt idx="80">
                  <c:v>21.212121212121211</c:v>
                </c:pt>
                <c:pt idx="81">
                  <c:v>18.181818181818183</c:v>
                </c:pt>
                <c:pt idx="82">
                  <c:v>18.181818181818183</c:v>
                </c:pt>
                <c:pt idx="83">
                  <c:v>15.151515151515152</c:v>
                </c:pt>
                <c:pt idx="84">
                  <c:v>15.151515151515152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432816"/>
        <c:axId val="31743320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Лист1!$A$2:$A$86</c:f>
              <c:strCache>
                <c:ptCount val="85"/>
                <c:pt idx="0">
                  <c:v>Оренбургская область</c:v>
                </c:pt>
                <c:pt idx="1">
                  <c:v>Краснодарский край</c:v>
                </c:pt>
                <c:pt idx="2">
                  <c:v>Ставропольский край</c:v>
                </c:pt>
                <c:pt idx="3">
                  <c:v>Иркутская область</c:v>
                </c:pt>
                <c:pt idx="4">
                  <c:v>Мурманская область</c:v>
                </c:pt>
                <c:pt idx="5">
                  <c:v>Республика Алтай</c:v>
                </c:pt>
                <c:pt idx="6">
                  <c:v>Омская область</c:v>
                </c:pt>
                <c:pt idx="7">
                  <c:v>Тамбовская область</c:v>
                </c:pt>
                <c:pt idx="8">
                  <c:v>Саратовская область</c:v>
                </c:pt>
                <c:pt idx="9">
                  <c:v>Новгородская область</c:v>
                </c:pt>
                <c:pt idx="10">
                  <c:v>Республика Адыгея (Адыгея)</c:v>
                </c:pt>
                <c:pt idx="11">
                  <c:v>Республика Башкортостан</c:v>
                </c:pt>
                <c:pt idx="12">
                  <c:v>Красноярский край</c:v>
                </c:pt>
                <c:pt idx="13">
                  <c:v>Курская область</c:v>
                </c:pt>
                <c:pt idx="14">
                  <c:v>Московская область</c:v>
                </c:pt>
                <c:pt idx="15">
                  <c:v>Ханты-Мансийский автономный округ - Югра</c:v>
                </c:pt>
                <c:pt idx="16">
                  <c:v>Магаданская область</c:v>
                </c:pt>
                <c:pt idx="17">
                  <c:v>Астраханская область</c:v>
                </c:pt>
                <c:pt idx="18">
                  <c:v>Ульяновская область</c:v>
                </c:pt>
                <c:pt idx="19">
                  <c:v>Тюменская область</c:v>
                </c:pt>
                <c:pt idx="20">
                  <c:v>Чувашская Республика - Чувашия</c:v>
                </c:pt>
                <c:pt idx="21">
                  <c:v>Республика Коми</c:v>
                </c:pt>
                <c:pt idx="22">
                  <c:v>Архангельская область</c:v>
                </c:pt>
                <c:pt idx="23">
                  <c:v>Алтайский край</c:v>
                </c:pt>
                <c:pt idx="24">
                  <c:v>Владимирская область</c:v>
                </c:pt>
                <c:pt idx="25">
                  <c:v>Вологодская область</c:v>
                </c:pt>
                <c:pt idx="26">
                  <c:v>Пермский край</c:v>
                </c:pt>
                <c:pt idx="27">
                  <c:v>Кировская область</c:v>
                </c:pt>
                <c:pt idx="28">
                  <c:v>Воронежская область</c:v>
                </c:pt>
                <c:pt idx="29">
                  <c:v>Тверская область</c:v>
                </c:pt>
                <c:pt idx="30">
                  <c:v>Тульская область</c:v>
                </c:pt>
                <c:pt idx="31">
                  <c:v>Ненецкий автономный округ</c:v>
                </c:pt>
                <c:pt idx="32">
                  <c:v>Республика Калмыкия</c:v>
                </c:pt>
                <c:pt idx="33">
                  <c:v>Республика Татарстан (Татарстан)</c:v>
                </c:pt>
                <c:pt idx="34">
                  <c:v>Амурская область</c:v>
                </c:pt>
                <c:pt idx="35">
                  <c:v>Белгородская область</c:v>
                </c:pt>
                <c:pt idx="36">
                  <c:v>Ивановская область</c:v>
                </c:pt>
                <c:pt idx="37">
                  <c:v>Рязанская область</c:v>
                </c:pt>
                <c:pt idx="38">
                  <c:v>Смоленская область</c:v>
                </c:pt>
                <c:pt idx="39">
                  <c:v>Республика Карелия</c:v>
                </c:pt>
                <c:pt idx="40">
                  <c:v>Ленинградская область</c:v>
                </c:pt>
                <c:pt idx="41">
                  <c:v>Ямало-Ненецкий автономный округ</c:v>
                </c:pt>
                <c:pt idx="42">
                  <c:v>Томская область</c:v>
                </c:pt>
                <c:pt idx="43">
                  <c:v>Камчатский край</c:v>
                </c:pt>
                <c:pt idx="44">
                  <c:v>Чукотский автономный округ</c:v>
                </c:pt>
                <c:pt idx="45">
                  <c:v>Липецкая область</c:v>
                </c:pt>
                <c:pt idx="46">
                  <c:v>Ростовская область</c:v>
                </c:pt>
                <c:pt idx="47">
                  <c:v>Пензенская область</c:v>
                </c:pt>
                <c:pt idx="48">
                  <c:v>Республика Крым</c:v>
                </c:pt>
                <c:pt idx="49">
                  <c:v>Республика Бурятия</c:v>
                </c:pt>
                <c:pt idx="50">
                  <c:v>Республика Саха (Якутия)</c:v>
                </c:pt>
                <c:pt idx="51">
                  <c:v>Брянская область</c:v>
                </c:pt>
                <c:pt idx="52">
                  <c:v>Костромская область</c:v>
                </c:pt>
                <c:pt idx="53">
                  <c:v>г.Санкт-Петербург</c:v>
                </c:pt>
                <c:pt idx="54">
                  <c:v>Кабардино-Балкарская Республика</c:v>
                </c:pt>
                <c:pt idx="55">
                  <c:v>Карачаево-Черкесская Республика</c:v>
                </c:pt>
                <c:pt idx="56">
                  <c:v>Республика Марий-Эл</c:v>
                </c:pt>
                <c:pt idx="57">
                  <c:v>Удмуртская Республика</c:v>
                </c:pt>
                <c:pt idx="58">
                  <c:v>Курганская область</c:v>
                </c:pt>
                <c:pt idx="59">
                  <c:v>Свердловская область</c:v>
                </c:pt>
                <c:pt idx="60">
                  <c:v>г.Москва </c:v>
                </c:pt>
                <c:pt idx="61">
                  <c:v>Челябинская область</c:v>
                </c:pt>
                <c:pt idx="62">
                  <c:v>Приморский край </c:v>
                </c:pt>
                <c:pt idx="63">
                  <c:v>Республика Дагестан</c:v>
                </c:pt>
                <c:pt idx="64">
                  <c:v>Калининградская область</c:v>
                </c:pt>
                <c:pt idx="65">
                  <c:v>Чеченская Республика</c:v>
                </c:pt>
                <c:pt idx="66">
                  <c:v>Республика Мордовия</c:v>
                </c:pt>
                <c:pt idx="67">
                  <c:v>Самарская область</c:v>
                </c:pt>
                <c:pt idx="68">
                  <c:v>Сахалинская область</c:v>
                </c:pt>
                <c:pt idx="69">
                  <c:v>Псковская область</c:v>
                </c:pt>
                <c:pt idx="70">
                  <c:v>Волгоградская область</c:v>
                </c:pt>
                <c:pt idx="71">
                  <c:v>Республика Хакасия</c:v>
                </c:pt>
                <c:pt idx="72">
                  <c:v>Еврейская автономная область</c:v>
                </c:pt>
                <c:pt idx="73">
                  <c:v>Орловская область</c:v>
                </c:pt>
                <c:pt idx="74">
                  <c:v>Ярославская область</c:v>
                </c:pt>
                <c:pt idx="75">
                  <c:v>Нижегородская область</c:v>
                </c:pt>
                <c:pt idx="76">
                  <c:v>Кемеровская область</c:v>
                </c:pt>
                <c:pt idx="77">
                  <c:v>Новосибирская область</c:v>
                </c:pt>
                <c:pt idx="78">
                  <c:v>Калужская область</c:v>
                </c:pt>
                <c:pt idx="79">
                  <c:v>Республика Тыва</c:v>
                </c:pt>
                <c:pt idx="80">
                  <c:v>Забайкальский край</c:v>
                </c:pt>
                <c:pt idx="81">
                  <c:v>Республика Ингушетия</c:v>
                </c:pt>
                <c:pt idx="82">
                  <c:v>г.Севастополь</c:v>
                </c:pt>
                <c:pt idx="83">
                  <c:v>Республика Северная Осетия - Алания</c:v>
                </c:pt>
                <c:pt idx="84">
                  <c:v>Хабаровский край</c:v>
                </c:pt>
              </c:strCache>
            </c:strRef>
          </c:cat>
          <c:val>
            <c:numRef>
              <c:f>Лист1!$C$2:$C$86</c:f>
              <c:numCache>
                <c:formatCode>#,##0.0</c:formatCode>
                <c:ptCount val="85"/>
                <c:pt idx="0">
                  <c:v>44.616755793226417</c:v>
                </c:pt>
                <c:pt idx="1">
                  <c:v>44.616755793226417</c:v>
                </c:pt>
                <c:pt idx="2">
                  <c:v>44.616755793226417</c:v>
                </c:pt>
                <c:pt idx="3">
                  <c:v>44.616755793226417</c:v>
                </c:pt>
                <c:pt idx="4">
                  <c:v>44.616755793226417</c:v>
                </c:pt>
                <c:pt idx="5">
                  <c:v>44.616755793226417</c:v>
                </c:pt>
                <c:pt idx="6">
                  <c:v>44.616755793226417</c:v>
                </c:pt>
                <c:pt idx="7">
                  <c:v>44.616755793226417</c:v>
                </c:pt>
                <c:pt idx="8">
                  <c:v>44.616755793226417</c:v>
                </c:pt>
                <c:pt idx="9">
                  <c:v>44.616755793226417</c:v>
                </c:pt>
                <c:pt idx="10">
                  <c:v>44.616755793226417</c:v>
                </c:pt>
                <c:pt idx="11">
                  <c:v>44.616755793226417</c:v>
                </c:pt>
                <c:pt idx="12">
                  <c:v>44.616755793226417</c:v>
                </c:pt>
                <c:pt idx="13">
                  <c:v>44.616755793226417</c:v>
                </c:pt>
                <c:pt idx="14">
                  <c:v>44.616755793226417</c:v>
                </c:pt>
                <c:pt idx="15">
                  <c:v>44.616755793226417</c:v>
                </c:pt>
                <c:pt idx="16">
                  <c:v>44.616755793226417</c:v>
                </c:pt>
                <c:pt idx="17">
                  <c:v>44.616755793226417</c:v>
                </c:pt>
                <c:pt idx="18">
                  <c:v>44.616755793226417</c:v>
                </c:pt>
                <c:pt idx="19">
                  <c:v>44.616755793226417</c:v>
                </c:pt>
                <c:pt idx="20">
                  <c:v>44.616755793226417</c:v>
                </c:pt>
                <c:pt idx="21">
                  <c:v>44.616755793226417</c:v>
                </c:pt>
                <c:pt idx="22">
                  <c:v>44.616755793226417</c:v>
                </c:pt>
                <c:pt idx="23">
                  <c:v>44.616755793226417</c:v>
                </c:pt>
                <c:pt idx="24">
                  <c:v>44.616755793226417</c:v>
                </c:pt>
                <c:pt idx="25">
                  <c:v>44.616755793226417</c:v>
                </c:pt>
                <c:pt idx="26">
                  <c:v>44.616755793226417</c:v>
                </c:pt>
                <c:pt idx="27">
                  <c:v>44.616755793226417</c:v>
                </c:pt>
                <c:pt idx="28">
                  <c:v>44.616755793226417</c:v>
                </c:pt>
                <c:pt idx="29">
                  <c:v>44.616755793226417</c:v>
                </c:pt>
                <c:pt idx="30">
                  <c:v>44.616755793226417</c:v>
                </c:pt>
                <c:pt idx="31">
                  <c:v>44.616755793226417</c:v>
                </c:pt>
                <c:pt idx="32">
                  <c:v>44.616755793226417</c:v>
                </c:pt>
                <c:pt idx="33">
                  <c:v>44.616755793226417</c:v>
                </c:pt>
                <c:pt idx="34">
                  <c:v>44.616755793226417</c:v>
                </c:pt>
                <c:pt idx="35">
                  <c:v>44.616755793226417</c:v>
                </c:pt>
                <c:pt idx="36">
                  <c:v>44.616755793226417</c:v>
                </c:pt>
                <c:pt idx="37">
                  <c:v>44.616755793226417</c:v>
                </c:pt>
                <c:pt idx="38">
                  <c:v>44.616755793226417</c:v>
                </c:pt>
                <c:pt idx="39">
                  <c:v>44.616755793226417</c:v>
                </c:pt>
                <c:pt idx="40">
                  <c:v>44.616755793226417</c:v>
                </c:pt>
                <c:pt idx="41">
                  <c:v>44.616755793226417</c:v>
                </c:pt>
                <c:pt idx="42">
                  <c:v>44.616755793226417</c:v>
                </c:pt>
                <c:pt idx="43">
                  <c:v>44.616755793226417</c:v>
                </c:pt>
                <c:pt idx="44">
                  <c:v>44.616755793226417</c:v>
                </c:pt>
                <c:pt idx="45">
                  <c:v>44.616755793226417</c:v>
                </c:pt>
                <c:pt idx="46">
                  <c:v>44.616755793226417</c:v>
                </c:pt>
                <c:pt idx="47">
                  <c:v>44.616755793226417</c:v>
                </c:pt>
                <c:pt idx="48">
                  <c:v>44.616755793226417</c:v>
                </c:pt>
                <c:pt idx="49">
                  <c:v>44.616755793226417</c:v>
                </c:pt>
                <c:pt idx="50">
                  <c:v>44.616755793226417</c:v>
                </c:pt>
                <c:pt idx="51">
                  <c:v>44.616755793226417</c:v>
                </c:pt>
                <c:pt idx="52">
                  <c:v>44.616755793226417</c:v>
                </c:pt>
                <c:pt idx="53">
                  <c:v>44.616755793226417</c:v>
                </c:pt>
                <c:pt idx="54">
                  <c:v>44.616755793226417</c:v>
                </c:pt>
                <c:pt idx="55">
                  <c:v>44.616755793226417</c:v>
                </c:pt>
                <c:pt idx="56">
                  <c:v>44.616755793226417</c:v>
                </c:pt>
                <c:pt idx="57">
                  <c:v>44.616755793226417</c:v>
                </c:pt>
                <c:pt idx="58">
                  <c:v>44.616755793226417</c:v>
                </c:pt>
                <c:pt idx="59">
                  <c:v>44.616755793226417</c:v>
                </c:pt>
                <c:pt idx="60">
                  <c:v>44.616755793226417</c:v>
                </c:pt>
                <c:pt idx="61">
                  <c:v>44.616755793226417</c:v>
                </c:pt>
                <c:pt idx="62">
                  <c:v>44.616755793226417</c:v>
                </c:pt>
                <c:pt idx="63">
                  <c:v>44.616755793226417</c:v>
                </c:pt>
                <c:pt idx="64">
                  <c:v>44.616755793226417</c:v>
                </c:pt>
                <c:pt idx="65">
                  <c:v>44.616755793226417</c:v>
                </c:pt>
                <c:pt idx="66">
                  <c:v>44.616755793226417</c:v>
                </c:pt>
                <c:pt idx="67">
                  <c:v>44.616755793226417</c:v>
                </c:pt>
                <c:pt idx="68">
                  <c:v>44.616755793226417</c:v>
                </c:pt>
                <c:pt idx="69">
                  <c:v>44.616755793226417</c:v>
                </c:pt>
                <c:pt idx="70">
                  <c:v>44.616755793226417</c:v>
                </c:pt>
                <c:pt idx="71">
                  <c:v>44.616755793226417</c:v>
                </c:pt>
                <c:pt idx="72">
                  <c:v>44.616755793226417</c:v>
                </c:pt>
                <c:pt idx="73">
                  <c:v>44.616755793226417</c:v>
                </c:pt>
                <c:pt idx="74">
                  <c:v>44.616755793226417</c:v>
                </c:pt>
                <c:pt idx="75">
                  <c:v>44.616755793226417</c:v>
                </c:pt>
                <c:pt idx="76">
                  <c:v>44.616755793226417</c:v>
                </c:pt>
                <c:pt idx="77">
                  <c:v>44.616755793226417</c:v>
                </c:pt>
                <c:pt idx="78">
                  <c:v>44.616755793226417</c:v>
                </c:pt>
                <c:pt idx="79">
                  <c:v>44.616755793226417</c:v>
                </c:pt>
                <c:pt idx="80">
                  <c:v>44.616755793226417</c:v>
                </c:pt>
                <c:pt idx="81">
                  <c:v>44.616755793226417</c:v>
                </c:pt>
                <c:pt idx="82">
                  <c:v>44.616755793226417</c:v>
                </c:pt>
                <c:pt idx="83">
                  <c:v>44.616755793226417</c:v>
                </c:pt>
                <c:pt idx="84">
                  <c:v>44.616755793226417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Лист1!$A$2:$A$86</c:f>
              <c:strCache>
                <c:ptCount val="85"/>
                <c:pt idx="0">
                  <c:v>Оренбургская область</c:v>
                </c:pt>
                <c:pt idx="1">
                  <c:v>Краснодарский край</c:v>
                </c:pt>
                <c:pt idx="2">
                  <c:v>Ставропольский край</c:v>
                </c:pt>
                <c:pt idx="3">
                  <c:v>Иркутская область</c:v>
                </c:pt>
                <c:pt idx="4">
                  <c:v>Мурманская область</c:v>
                </c:pt>
                <c:pt idx="5">
                  <c:v>Республика Алтай</c:v>
                </c:pt>
                <c:pt idx="6">
                  <c:v>Омская область</c:v>
                </c:pt>
                <c:pt idx="7">
                  <c:v>Тамбовская область</c:v>
                </c:pt>
                <c:pt idx="8">
                  <c:v>Саратовская область</c:v>
                </c:pt>
                <c:pt idx="9">
                  <c:v>Новгородская область</c:v>
                </c:pt>
                <c:pt idx="10">
                  <c:v>Республика Адыгея (Адыгея)</c:v>
                </c:pt>
                <c:pt idx="11">
                  <c:v>Республика Башкортостан</c:v>
                </c:pt>
                <c:pt idx="12">
                  <c:v>Красноярский край</c:v>
                </c:pt>
                <c:pt idx="13">
                  <c:v>Курская область</c:v>
                </c:pt>
                <c:pt idx="14">
                  <c:v>Московская область</c:v>
                </c:pt>
                <c:pt idx="15">
                  <c:v>Ханты-Мансийский автономный округ - Югра</c:v>
                </c:pt>
                <c:pt idx="16">
                  <c:v>Магаданская область</c:v>
                </c:pt>
                <c:pt idx="17">
                  <c:v>Астраханская область</c:v>
                </c:pt>
                <c:pt idx="18">
                  <c:v>Ульяновская область</c:v>
                </c:pt>
                <c:pt idx="19">
                  <c:v>Тюменская область</c:v>
                </c:pt>
                <c:pt idx="20">
                  <c:v>Чувашская Республика - Чувашия</c:v>
                </c:pt>
                <c:pt idx="21">
                  <c:v>Республика Коми</c:v>
                </c:pt>
                <c:pt idx="22">
                  <c:v>Архангельская область</c:v>
                </c:pt>
                <c:pt idx="23">
                  <c:v>Алтайский край</c:v>
                </c:pt>
                <c:pt idx="24">
                  <c:v>Владимирская область</c:v>
                </c:pt>
                <c:pt idx="25">
                  <c:v>Вологодская область</c:v>
                </c:pt>
                <c:pt idx="26">
                  <c:v>Пермский край</c:v>
                </c:pt>
                <c:pt idx="27">
                  <c:v>Кировская область</c:v>
                </c:pt>
                <c:pt idx="28">
                  <c:v>Воронежская область</c:v>
                </c:pt>
                <c:pt idx="29">
                  <c:v>Тверская область</c:v>
                </c:pt>
                <c:pt idx="30">
                  <c:v>Тульская область</c:v>
                </c:pt>
                <c:pt idx="31">
                  <c:v>Ненецкий автономный округ</c:v>
                </c:pt>
                <c:pt idx="32">
                  <c:v>Республика Калмыкия</c:v>
                </c:pt>
                <c:pt idx="33">
                  <c:v>Республика Татарстан (Татарстан)</c:v>
                </c:pt>
                <c:pt idx="34">
                  <c:v>Амурская область</c:v>
                </c:pt>
                <c:pt idx="35">
                  <c:v>Белгородская область</c:v>
                </c:pt>
                <c:pt idx="36">
                  <c:v>Ивановская область</c:v>
                </c:pt>
                <c:pt idx="37">
                  <c:v>Рязанская область</c:v>
                </c:pt>
                <c:pt idx="38">
                  <c:v>Смоленская область</c:v>
                </c:pt>
                <c:pt idx="39">
                  <c:v>Республика Карелия</c:v>
                </c:pt>
                <c:pt idx="40">
                  <c:v>Ленинградская область</c:v>
                </c:pt>
                <c:pt idx="41">
                  <c:v>Ямало-Ненецкий автономный округ</c:v>
                </c:pt>
                <c:pt idx="42">
                  <c:v>Томская область</c:v>
                </c:pt>
                <c:pt idx="43">
                  <c:v>Камчатский край</c:v>
                </c:pt>
                <c:pt idx="44">
                  <c:v>Чукотский автономный округ</c:v>
                </c:pt>
                <c:pt idx="45">
                  <c:v>Липецкая область</c:v>
                </c:pt>
                <c:pt idx="46">
                  <c:v>Ростовская область</c:v>
                </c:pt>
                <c:pt idx="47">
                  <c:v>Пензенская область</c:v>
                </c:pt>
                <c:pt idx="48">
                  <c:v>Республика Крым</c:v>
                </c:pt>
                <c:pt idx="49">
                  <c:v>Республика Бурятия</c:v>
                </c:pt>
                <c:pt idx="50">
                  <c:v>Республика Саха (Якутия)</c:v>
                </c:pt>
                <c:pt idx="51">
                  <c:v>Брянская область</c:v>
                </c:pt>
                <c:pt idx="52">
                  <c:v>Костромская область</c:v>
                </c:pt>
                <c:pt idx="53">
                  <c:v>г.Санкт-Петербург</c:v>
                </c:pt>
                <c:pt idx="54">
                  <c:v>Кабардино-Балкарская Республика</c:v>
                </c:pt>
                <c:pt idx="55">
                  <c:v>Карачаево-Черкесская Республика</c:v>
                </c:pt>
                <c:pt idx="56">
                  <c:v>Республика Марий-Эл</c:v>
                </c:pt>
                <c:pt idx="57">
                  <c:v>Удмуртская Республика</c:v>
                </c:pt>
                <c:pt idx="58">
                  <c:v>Курганская область</c:v>
                </c:pt>
                <c:pt idx="59">
                  <c:v>Свердловская область</c:v>
                </c:pt>
                <c:pt idx="60">
                  <c:v>г.Москва </c:v>
                </c:pt>
                <c:pt idx="61">
                  <c:v>Челябинская область</c:v>
                </c:pt>
                <c:pt idx="62">
                  <c:v>Приморский край </c:v>
                </c:pt>
                <c:pt idx="63">
                  <c:v>Республика Дагестан</c:v>
                </c:pt>
                <c:pt idx="64">
                  <c:v>Калининградская область</c:v>
                </c:pt>
                <c:pt idx="65">
                  <c:v>Чеченская Республика</c:v>
                </c:pt>
                <c:pt idx="66">
                  <c:v>Республика Мордовия</c:v>
                </c:pt>
                <c:pt idx="67">
                  <c:v>Самарская область</c:v>
                </c:pt>
                <c:pt idx="68">
                  <c:v>Сахалинская область</c:v>
                </c:pt>
                <c:pt idx="69">
                  <c:v>Псковская область</c:v>
                </c:pt>
                <c:pt idx="70">
                  <c:v>Волгоградская область</c:v>
                </c:pt>
                <c:pt idx="71">
                  <c:v>Республика Хакасия</c:v>
                </c:pt>
                <c:pt idx="72">
                  <c:v>Еврейская автономная область</c:v>
                </c:pt>
                <c:pt idx="73">
                  <c:v>Орловская область</c:v>
                </c:pt>
                <c:pt idx="74">
                  <c:v>Ярославская область</c:v>
                </c:pt>
                <c:pt idx="75">
                  <c:v>Нижегородская область</c:v>
                </c:pt>
                <c:pt idx="76">
                  <c:v>Кемеровская область</c:v>
                </c:pt>
                <c:pt idx="77">
                  <c:v>Новосибирская область</c:v>
                </c:pt>
                <c:pt idx="78">
                  <c:v>Калужская область</c:v>
                </c:pt>
                <c:pt idx="79">
                  <c:v>Республика Тыва</c:v>
                </c:pt>
                <c:pt idx="80">
                  <c:v>Забайкальский край</c:v>
                </c:pt>
                <c:pt idx="81">
                  <c:v>Республика Ингушетия</c:v>
                </c:pt>
                <c:pt idx="82">
                  <c:v>г.Севастополь</c:v>
                </c:pt>
                <c:pt idx="83">
                  <c:v>Республика Северная Осетия - Алания</c:v>
                </c:pt>
                <c:pt idx="84">
                  <c:v>Хабаровский край</c:v>
                </c:pt>
              </c:strCache>
            </c:strRef>
          </c:cat>
          <c:val>
            <c:numRef>
              <c:f>Лист1!$D$2:$D$86</c:f>
              <c:numCache>
                <c:formatCode>#,##0.0</c:formatCode>
                <c:ptCount val="8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  <c:pt idx="38">
                  <c:v>100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100</c:v>
                </c:pt>
                <c:pt idx="46">
                  <c:v>100</c:v>
                </c:pt>
                <c:pt idx="47">
                  <c:v>100</c:v>
                </c:pt>
                <c:pt idx="48">
                  <c:v>100</c:v>
                </c:pt>
                <c:pt idx="49">
                  <c:v>100</c:v>
                </c:pt>
                <c:pt idx="50">
                  <c:v>100</c:v>
                </c:pt>
                <c:pt idx="51">
                  <c:v>100</c:v>
                </c:pt>
                <c:pt idx="52">
                  <c:v>100</c:v>
                </c:pt>
                <c:pt idx="53">
                  <c:v>100</c:v>
                </c:pt>
                <c:pt idx="54">
                  <c:v>100</c:v>
                </c:pt>
                <c:pt idx="55">
                  <c:v>100</c:v>
                </c:pt>
                <c:pt idx="56">
                  <c:v>100</c:v>
                </c:pt>
                <c:pt idx="57">
                  <c:v>100</c:v>
                </c:pt>
                <c:pt idx="58">
                  <c:v>100</c:v>
                </c:pt>
                <c:pt idx="59">
                  <c:v>100</c:v>
                </c:pt>
                <c:pt idx="60">
                  <c:v>100</c:v>
                </c:pt>
                <c:pt idx="61">
                  <c:v>100</c:v>
                </c:pt>
                <c:pt idx="62">
                  <c:v>100</c:v>
                </c:pt>
                <c:pt idx="63">
                  <c:v>100</c:v>
                </c:pt>
                <c:pt idx="64">
                  <c:v>100</c:v>
                </c:pt>
                <c:pt idx="65">
                  <c:v>100</c:v>
                </c:pt>
                <c:pt idx="66">
                  <c:v>100</c:v>
                </c:pt>
                <c:pt idx="67">
                  <c:v>100</c:v>
                </c:pt>
                <c:pt idx="68">
                  <c:v>100</c:v>
                </c:pt>
                <c:pt idx="69">
                  <c:v>100</c:v>
                </c:pt>
                <c:pt idx="70">
                  <c:v>100</c:v>
                </c:pt>
                <c:pt idx="71">
                  <c:v>100</c:v>
                </c:pt>
                <c:pt idx="72">
                  <c:v>100</c:v>
                </c:pt>
                <c:pt idx="73">
                  <c:v>100</c:v>
                </c:pt>
                <c:pt idx="74">
                  <c:v>100</c:v>
                </c:pt>
                <c:pt idx="75">
                  <c:v>100</c:v>
                </c:pt>
                <c:pt idx="76">
                  <c:v>100</c:v>
                </c:pt>
                <c:pt idx="77">
                  <c:v>100</c:v>
                </c:pt>
                <c:pt idx="78">
                  <c:v>100</c:v>
                </c:pt>
                <c:pt idx="79">
                  <c:v>100</c:v>
                </c:pt>
                <c:pt idx="80">
                  <c:v>100</c:v>
                </c:pt>
                <c:pt idx="81">
                  <c:v>100</c:v>
                </c:pt>
                <c:pt idx="82">
                  <c:v>100</c:v>
                </c:pt>
                <c:pt idx="83">
                  <c:v>100</c:v>
                </c:pt>
                <c:pt idx="8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432816"/>
        <c:axId val="317433208"/>
      </c:lineChart>
      <c:catAx>
        <c:axId val="31743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433208"/>
        <c:crosses val="autoZero"/>
        <c:auto val="1"/>
        <c:lblAlgn val="ctr"/>
        <c:lblOffset val="100"/>
        <c:noMultiLvlLbl val="0"/>
      </c:catAx>
      <c:valAx>
        <c:axId val="317433208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 w="6350"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</a:t>
                </a:r>
                <a:r>
                  <a:rPr lang="ru-RU" sz="9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максимального количества баллов</a:t>
                </a:r>
                <a:endParaRPr lang="ru-RU" sz="9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43281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71000">
          <a:srgbClr val="D6E6F5">
            <a:lumMod val="63000"/>
            <a:lumOff val="37000"/>
          </a:srgbClr>
        </a:gs>
        <a:gs pos="17000">
          <a:schemeClr val="accent1">
            <a:lumMod val="5000"/>
            <a:lumOff val="95000"/>
          </a:schemeClr>
        </a:gs>
        <a:gs pos="90000">
          <a:schemeClr val="accent1">
            <a:lumMod val="45000"/>
            <a:lumOff val="5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Значение региона-аутсайдера</c:v>
                </c:pt>
              </c:strCache>
            </c:strRef>
          </c:tx>
          <c:spPr>
            <a:pattFill prst="narVert">
              <a:fgClr>
                <a:schemeClr val="accent5">
                  <a:tint val="58000"/>
                </a:schemeClr>
              </a:fgClr>
              <a:bgClr>
                <a:schemeClr val="accent5">
                  <a:tint val="58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tint val="58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4"/>
                <c:pt idx="0">
                  <c:v>Общественное участие (I квартал 2016 года)</c:v>
                </c:pt>
                <c:pt idx="1">
                  <c:v>Бюджет для граждан (закон о бюджете)</c:v>
                </c:pt>
                <c:pt idx="2">
                  <c:v>Сведения о деятельности государственных учреждений</c:v>
                </c:pt>
                <c:pt idx="3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Лист1!$B$3:$B$11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pattFill prst="narVert">
              <a:fgClr>
                <a:schemeClr val="accent5">
                  <a:tint val="86000"/>
                </a:schemeClr>
              </a:fgClr>
              <a:bgClr>
                <a:schemeClr val="accent5">
                  <a:tint val="86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tint val="86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4"/>
                <c:pt idx="0">
                  <c:v>Общественное участие (I квартал 2016 года)</c:v>
                </c:pt>
                <c:pt idx="1">
                  <c:v>Бюджет для граждан (закон о бюджете)</c:v>
                </c:pt>
                <c:pt idx="2">
                  <c:v>Сведения о деятельности государственных учреждений</c:v>
                </c:pt>
                <c:pt idx="3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Лист1!$C$3:$C$11</c:f>
              <c:numCache>
                <c:formatCode>0.0</c:formatCode>
                <c:ptCount val="4"/>
                <c:pt idx="0">
                  <c:v>22.411764705882351</c:v>
                </c:pt>
                <c:pt idx="1">
                  <c:v>49.647058823529413</c:v>
                </c:pt>
                <c:pt idx="2">
                  <c:v>34.313725490196063</c:v>
                </c:pt>
                <c:pt idx="3">
                  <c:v>65.588235294117609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Значение региона-лидера</c:v>
                </c:pt>
              </c:strCache>
            </c:strRef>
          </c:tx>
          <c:spPr>
            <a:pattFill prst="narVert">
              <a:fgClr>
                <a:schemeClr val="accent5">
                  <a:shade val="86000"/>
                </a:schemeClr>
              </a:fgClr>
              <a:bgClr>
                <a:schemeClr val="accent5">
                  <a:shade val="86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shade val="86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4"/>
                <c:pt idx="0">
                  <c:v>Общественное участие (I квартал 2016 года)</c:v>
                </c:pt>
                <c:pt idx="1">
                  <c:v>Бюджет для граждан (закон о бюджете)</c:v>
                </c:pt>
                <c:pt idx="2">
                  <c:v>Сведения о деятельности государственных учреждений</c:v>
                </c:pt>
                <c:pt idx="3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Лист1!$D$3:$D$11</c:f>
              <c:numCache>
                <c:formatCode>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Максимально возможное значение</c:v>
                </c:pt>
              </c:strCache>
            </c:strRef>
          </c:tx>
          <c:spPr>
            <a:pattFill prst="narVert">
              <a:fgClr>
                <a:schemeClr val="accent5">
                  <a:shade val="58000"/>
                </a:schemeClr>
              </a:fgClr>
              <a:bgClr>
                <a:schemeClr val="accent5">
                  <a:shade val="58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shade val="58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4"/>
                <c:pt idx="0">
                  <c:v>Общественное участие (I квартал 2016 года)</c:v>
                </c:pt>
                <c:pt idx="1">
                  <c:v>Бюджет для граждан (закон о бюджете)</c:v>
                </c:pt>
                <c:pt idx="2">
                  <c:v>Сведения о деятельности государственных учреждений</c:v>
                </c:pt>
                <c:pt idx="3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Лист1!$E$3:$E$11</c:f>
              <c:numCache>
                <c:formatCode>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17433992"/>
        <c:axId val="317434384"/>
      </c:barChart>
      <c:catAx>
        <c:axId val="317433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8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Направления оценки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434384"/>
        <c:crossesAt val="0"/>
        <c:auto val="1"/>
        <c:lblAlgn val="ctr"/>
        <c:lblOffset val="100"/>
        <c:noMultiLvlLbl val="0"/>
      </c:catAx>
      <c:valAx>
        <c:axId val="317434384"/>
        <c:scaling>
          <c:orientation val="minMax"/>
          <c:max val="100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8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максимально возможного количества баллов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433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18000">
          <a:schemeClr val="accent1">
            <a:lumMod val="5000"/>
            <a:lumOff val="95000"/>
          </a:schemeClr>
        </a:gs>
        <a:gs pos="82000">
          <a:schemeClr val="accent1">
            <a:lumMod val="34000"/>
            <a:lumOff val="66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10800000" scaled="1"/>
      <a:tileRect/>
    </a:gra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4760E6D-741B-43DB-A64F-EBC91C26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20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9</cp:revision>
  <dcterms:created xsi:type="dcterms:W3CDTF">2016-05-27T12:10:00Z</dcterms:created>
  <dcterms:modified xsi:type="dcterms:W3CDTF">2016-05-27T15:28:00Z</dcterms:modified>
</cp:coreProperties>
</file>